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F0" w:rsidRPr="00DE3BBF" w:rsidRDefault="00263CA3" w:rsidP="002907F0">
      <w:pPr>
        <w:pStyle w:val="Zkladntext"/>
        <w:jc w:val="center"/>
        <w:rPr>
          <w:b/>
          <w:sz w:val="52"/>
          <w:szCs w:val="52"/>
        </w:rPr>
      </w:pPr>
      <w:r w:rsidRPr="00DE3BBF">
        <w:rPr>
          <w:b/>
          <w:sz w:val="52"/>
          <w:szCs w:val="52"/>
        </w:rPr>
        <w:t xml:space="preserve">Pozvánka na valnou hromadu </w:t>
      </w:r>
    </w:p>
    <w:p w:rsidR="00DE3BBF" w:rsidRPr="002907F0" w:rsidRDefault="00DE3BBF" w:rsidP="002907F0">
      <w:pPr>
        <w:pStyle w:val="Zkladntext"/>
        <w:jc w:val="center"/>
        <w:rPr>
          <w:b/>
          <w:sz w:val="20"/>
        </w:rPr>
      </w:pPr>
    </w:p>
    <w:p w:rsidR="00263CA3" w:rsidRPr="002907F0" w:rsidRDefault="00263CA3">
      <w:pPr>
        <w:pStyle w:val="Zkladntextodsazen"/>
        <w:ind w:left="0"/>
        <w:jc w:val="center"/>
        <w:rPr>
          <w:b/>
          <w:szCs w:val="24"/>
        </w:rPr>
      </w:pPr>
      <w:r w:rsidRPr="002907F0">
        <w:rPr>
          <w:b/>
          <w:szCs w:val="24"/>
        </w:rPr>
        <w:t>Představenstvo akciové společnosti</w:t>
      </w:r>
    </w:p>
    <w:p w:rsidR="00263CA3" w:rsidRDefault="00263CA3">
      <w:pPr>
        <w:pStyle w:val="Zkladntextodsazen"/>
        <w:ind w:left="8" w:hanging="8"/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Vodohospodářská a obchodní společnost, a.s.</w:t>
      </w:r>
    </w:p>
    <w:p w:rsidR="00263CA3" w:rsidRPr="00F71B16" w:rsidRDefault="00263CA3">
      <w:pPr>
        <w:pStyle w:val="Zkladntextodsazen"/>
        <w:ind w:left="0"/>
        <w:jc w:val="center"/>
        <w:rPr>
          <w:sz w:val="18"/>
          <w:szCs w:val="18"/>
        </w:rPr>
      </w:pPr>
      <w:r w:rsidRPr="00F71B16">
        <w:rPr>
          <w:sz w:val="18"/>
          <w:szCs w:val="18"/>
        </w:rPr>
        <w:t>se sídlem v Jičíně, Na Tobolce 428, IČ: 60109149</w:t>
      </w:r>
    </w:p>
    <w:p w:rsidR="00263CA3" w:rsidRPr="00F71B16" w:rsidRDefault="00263CA3">
      <w:pPr>
        <w:pStyle w:val="Zkladntextodsazen"/>
        <w:ind w:left="0"/>
        <w:jc w:val="center"/>
        <w:rPr>
          <w:sz w:val="18"/>
          <w:szCs w:val="18"/>
        </w:rPr>
      </w:pPr>
      <w:r w:rsidRPr="00F71B16">
        <w:rPr>
          <w:sz w:val="18"/>
          <w:szCs w:val="18"/>
        </w:rPr>
        <w:t>zapsaná v obchodním rejstříku vedeném Krajským soudem v Hradci Králové, v oddíle B, č. vložce 1045</w:t>
      </w:r>
    </w:p>
    <w:p w:rsidR="00263CA3" w:rsidRDefault="00263CA3">
      <w:pPr>
        <w:pStyle w:val="Zkladntextodsazen"/>
        <w:ind w:left="0"/>
        <w:jc w:val="center"/>
        <w:rPr>
          <w:b/>
        </w:rPr>
      </w:pPr>
      <w:r>
        <w:rPr>
          <w:b/>
        </w:rPr>
        <w:t>svolává dle čl. 23 a 24 stanov</w:t>
      </w:r>
    </w:p>
    <w:p w:rsidR="00AD5B97" w:rsidRDefault="004E696F" w:rsidP="00B2094F">
      <w:pPr>
        <w:pStyle w:val="Zkladntextodsazen"/>
        <w:ind w:left="0"/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>2</w:t>
      </w:r>
      <w:r w:rsidR="008D4C69">
        <w:rPr>
          <w:b/>
          <w:color w:val="000080"/>
          <w:sz w:val="28"/>
        </w:rPr>
        <w:t>5</w:t>
      </w:r>
      <w:r w:rsidR="00263CA3">
        <w:rPr>
          <w:b/>
          <w:color w:val="000080"/>
          <w:sz w:val="28"/>
        </w:rPr>
        <w:t>. řádnou valnou hromadu společnosti</w:t>
      </w:r>
    </w:p>
    <w:p w:rsidR="00590129" w:rsidRPr="00F71B16" w:rsidRDefault="00263CA3" w:rsidP="00AD5B97">
      <w:pPr>
        <w:pStyle w:val="Zkladntextodsazen"/>
        <w:ind w:left="0"/>
        <w:jc w:val="center"/>
        <w:rPr>
          <w:b/>
          <w:szCs w:val="24"/>
        </w:rPr>
      </w:pPr>
      <w:r w:rsidRPr="00F71B16">
        <w:rPr>
          <w:szCs w:val="24"/>
        </w:rPr>
        <w:t xml:space="preserve">Valná hromada se koná dne </w:t>
      </w:r>
      <w:r w:rsidR="008D4C69">
        <w:rPr>
          <w:b/>
          <w:szCs w:val="24"/>
        </w:rPr>
        <w:t>21</w:t>
      </w:r>
      <w:r w:rsidRPr="00F71B16">
        <w:rPr>
          <w:b/>
          <w:szCs w:val="24"/>
        </w:rPr>
        <w:t>. června 201</w:t>
      </w:r>
      <w:r w:rsidR="008D4C69">
        <w:rPr>
          <w:b/>
          <w:szCs w:val="24"/>
        </w:rPr>
        <w:t>8</w:t>
      </w:r>
      <w:r w:rsidRPr="00F71B16">
        <w:rPr>
          <w:b/>
          <w:szCs w:val="24"/>
        </w:rPr>
        <w:t xml:space="preserve"> od </w:t>
      </w:r>
      <w:r w:rsidR="00480B4F" w:rsidRPr="001935E8">
        <w:rPr>
          <w:b/>
          <w:szCs w:val="24"/>
        </w:rPr>
        <w:t>15</w:t>
      </w:r>
      <w:r w:rsidR="003F3B12" w:rsidRPr="001935E8">
        <w:rPr>
          <w:b/>
          <w:szCs w:val="24"/>
          <w:vertAlign w:val="superscript"/>
        </w:rPr>
        <w:t>00</w:t>
      </w:r>
      <w:r w:rsidR="00FC7DC2">
        <w:rPr>
          <w:b/>
          <w:szCs w:val="24"/>
        </w:rPr>
        <w:t xml:space="preserve"> hodin v </w:t>
      </w:r>
      <w:r w:rsidR="00FC7DC2" w:rsidRPr="001B16D6">
        <w:rPr>
          <w:b/>
          <w:szCs w:val="24"/>
        </w:rPr>
        <w:t>Porotním sále</w:t>
      </w:r>
      <w:r w:rsidR="00593139" w:rsidRPr="001B16D6">
        <w:rPr>
          <w:b/>
          <w:szCs w:val="24"/>
        </w:rPr>
        <w:t xml:space="preserve"> jičínského zámku</w:t>
      </w:r>
      <w:r w:rsidR="00FC7DC2" w:rsidRPr="001B16D6">
        <w:rPr>
          <w:b/>
          <w:szCs w:val="24"/>
        </w:rPr>
        <w:t xml:space="preserve">, </w:t>
      </w:r>
      <w:proofErr w:type="spellStart"/>
      <w:r w:rsidR="00FC7DC2" w:rsidRPr="001B16D6">
        <w:rPr>
          <w:b/>
          <w:szCs w:val="24"/>
        </w:rPr>
        <w:t>Valdštejnovo</w:t>
      </w:r>
      <w:proofErr w:type="spellEnd"/>
      <w:r w:rsidR="00FC7DC2" w:rsidRPr="001B16D6">
        <w:rPr>
          <w:b/>
          <w:szCs w:val="24"/>
        </w:rPr>
        <w:t xml:space="preserve"> náměstí</w:t>
      </w:r>
      <w:r w:rsidR="00593139" w:rsidRPr="001B16D6">
        <w:rPr>
          <w:b/>
          <w:szCs w:val="24"/>
        </w:rPr>
        <w:t xml:space="preserve"> 1</w:t>
      </w:r>
      <w:r w:rsidR="00FC7DC2" w:rsidRPr="001B16D6">
        <w:rPr>
          <w:b/>
          <w:szCs w:val="24"/>
        </w:rPr>
        <w:t>, Jičín</w:t>
      </w:r>
    </w:p>
    <w:p w:rsidR="00263CA3" w:rsidRPr="00E1387F" w:rsidRDefault="00263CA3">
      <w:pPr>
        <w:pStyle w:val="Zkladntextodsazen"/>
        <w:ind w:left="0"/>
        <w:jc w:val="center"/>
        <w:rPr>
          <w:sz w:val="20"/>
        </w:rPr>
      </w:pPr>
    </w:p>
    <w:p w:rsidR="00263CA3" w:rsidRPr="00E1387F" w:rsidRDefault="00263CA3">
      <w:pPr>
        <w:pStyle w:val="Zkladntextodsazen"/>
        <w:ind w:left="0"/>
        <w:rPr>
          <w:sz w:val="18"/>
          <w:szCs w:val="18"/>
        </w:rPr>
      </w:pPr>
      <w:r w:rsidRPr="00E1387F">
        <w:rPr>
          <w:sz w:val="18"/>
          <w:szCs w:val="18"/>
        </w:rPr>
        <w:t>Pr</w:t>
      </w:r>
      <w:r w:rsidR="0026727F" w:rsidRPr="00E1387F">
        <w:rPr>
          <w:sz w:val="18"/>
          <w:szCs w:val="18"/>
        </w:rPr>
        <w:t xml:space="preserve">ezence akcionářů bude probíhat </w:t>
      </w:r>
      <w:r w:rsidRPr="00E1387F">
        <w:rPr>
          <w:sz w:val="18"/>
          <w:szCs w:val="18"/>
        </w:rPr>
        <w:t xml:space="preserve">v místě konání valné hromady od </w:t>
      </w:r>
      <w:r w:rsidR="00480B4F">
        <w:rPr>
          <w:sz w:val="18"/>
          <w:szCs w:val="18"/>
        </w:rPr>
        <w:t>14</w:t>
      </w:r>
      <w:r w:rsidR="00F71B16" w:rsidRPr="00480B4F">
        <w:rPr>
          <w:sz w:val="18"/>
          <w:szCs w:val="18"/>
          <w:vertAlign w:val="superscript"/>
        </w:rPr>
        <w:t>00</w:t>
      </w:r>
      <w:r w:rsidRPr="00480B4F">
        <w:rPr>
          <w:sz w:val="18"/>
          <w:szCs w:val="18"/>
        </w:rPr>
        <w:t>h</w:t>
      </w:r>
      <w:r w:rsidRPr="00E1387F">
        <w:rPr>
          <w:sz w:val="18"/>
          <w:szCs w:val="18"/>
        </w:rPr>
        <w:t>odin.</w:t>
      </w:r>
    </w:p>
    <w:p w:rsidR="00263CA3" w:rsidRPr="00E1387F" w:rsidRDefault="00263CA3">
      <w:pPr>
        <w:pStyle w:val="Zkladntextodsazen"/>
        <w:ind w:left="0"/>
        <w:rPr>
          <w:sz w:val="18"/>
          <w:szCs w:val="18"/>
        </w:rPr>
      </w:pPr>
      <w:r w:rsidRPr="00E1387F">
        <w:rPr>
          <w:sz w:val="18"/>
          <w:szCs w:val="18"/>
        </w:rPr>
        <w:t xml:space="preserve">Akcionáři zapsaní v seznamu akcionářů společnosti se při prezenci prokážou platným průkazem totožnosti. </w:t>
      </w:r>
      <w:r w:rsidR="0026727F" w:rsidRPr="00E1387F">
        <w:rPr>
          <w:sz w:val="18"/>
          <w:szCs w:val="18"/>
        </w:rPr>
        <w:t>Z</w:t>
      </w:r>
      <w:r w:rsidR="003B5F6C" w:rsidRPr="00E1387F">
        <w:rPr>
          <w:sz w:val="18"/>
          <w:szCs w:val="18"/>
        </w:rPr>
        <w:t>astupuje-li akcionáře zmocněnec</w:t>
      </w:r>
      <w:r w:rsidR="008F0E2A" w:rsidRPr="00E1387F">
        <w:rPr>
          <w:sz w:val="18"/>
          <w:szCs w:val="18"/>
        </w:rPr>
        <w:t>,</w:t>
      </w:r>
      <w:r w:rsidR="003B5F6C" w:rsidRPr="00E1387F">
        <w:rPr>
          <w:sz w:val="18"/>
          <w:szCs w:val="18"/>
        </w:rPr>
        <w:t xml:space="preserve"> odevzdá </w:t>
      </w:r>
      <w:r w:rsidR="00465E30">
        <w:rPr>
          <w:sz w:val="18"/>
          <w:szCs w:val="18"/>
        </w:rPr>
        <w:t>originál nebo úředně ověřenou kopii písemné plné</w:t>
      </w:r>
      <w:r w:rsidR="0026727F" w:rsidRPr="00E1387F">
        <w:rPr>
          <w:sz w:val="18"/>
          <w:szCs w:val="18"/>
        </w:rPr>
        <w:t xml:space="preserve"> moc</w:t>
      </w:r>
      <w:r w:rsidR="00465E30">
        <w:rPr>
          <w:sz w:val="18"/>
          <w:szCs w:val="18"/>
        </w:rPr>
        <w:t>i</w:t>
      </w:r>
      <w:r w:rsidR="003B5F6C" w:rsidRPr="00E1387F">
        <w:rPr>
          <w:sz w:val="18"/>
          <w:szCs w:val="18"/>
        </w:rPr>
        <w:t xml:space="preserve"> s ověřeným podpisem</w:t>
      </w:r>
      <w:r w:rsidR="0026727F" w:rsidRPr="00E1387F">
        <w:rPr>
          <w:sz w:val="18"/>
          <w:szCs w:val="18"/>
        </w:rPr>
        <w:t xml:space="preserve"> akcionáře-zmocnitele, ze které musí vyplývat, zda byla tato plná moc udělena pro zastoupení na jedné nebo na více valných hromadách v</w:t>
      </w:r>
      <w:r w:rsidR="003B5F6C" w:rsidRPr="00E1387F">
        <w:rPr>
          <w:sz w:val="18"/>
          <w:szCs w:val="18"/>
        </w:rPr>
        <w:t> </w:t>
      </w:r>
      <w:r w:rsidR="0026727F" w:rsidRPr="00E1387F">
        <w:rPr>
          <w:sz w:val="18"/>
          <w:szCs w:val="18"/>
        </w:rPr>
        <w:t>určitém</w:t>
      </w:r>
      <w:r w:rsidR="003B5F6C" w:rsidRPr="00E1387F">
        <w:rPr>
          <w:sz w:val="18"/>
          <w:szCs w:val="18"/>
        </w:rPr>
        <w:t xml:space="preserve"> období.</w:t>
      </w:r>
    </w:p>
    <w:p w:rsidR="00263CA3" w:rsidRPr="00297A4B" w:rsidRDefault="00263CA3">
      <w:pPr>
        <w:tabs>
          <w:tab w:val="left" w:pos="360"/>
        </w:tabs>
        <w:jc w:val="both"/>
        <w:rPr>
          <w:b/>
          <w:bCs/>
          <w:sz w:val="18"/>
          <w:szCs w:val="18"/>
        </w:rPr>
      </w:pPr>
      <w:r w:rsidRPr="00297A4B">
        <w:rPr>
          <w:b/>
          <w:sz w:val="18"/>
          <w:szCs w:val="18"/>
        </w:rPr>
        <w:t>Zástupce akcionáře-obce se prokáže rozhodnutím zastupitelstva obce, kterým byl zástupce obce delegován na valnou hromadu</w:t>
      </w:r>
      <w:r w:rsidR="004E0FD3" w:rsidRPr="00297A4B">
        <w:rPr>
          <w:b/>
          <w:sz w:val="18"/>
          <w:szCs w:val="18"/>
        </w:rPr>
        <w:t xml:space="preserve"> </w:t>
      </w:r>
      <w:r w:rsidR="00465E30" w:rsidRPr="00297A4B">
        <w:rPr>
          <w:rFonts w:eastAsia="SimSun"/>
          <w:b/>
          <w:sz w:val="18"/>
          <w:szCs w:val="18"/>
          <w:lang w:eastAsia="zh-CN"/>
        </w:rPr>
        <w:t>v souladu s </w:t>
      </w:r>
      <w:proofErr w:type="spellStart"/>
      <w:r w:rsidR="00465E30" w:rsidRPr="00297A4B">
        <w:rPr>
          <w:rFonts w:eastAsia="SimSun"/>
          <w:b/>
          <w:sz w:val="18"/>
          <w:szCs w:val="18"/>
          <w:lang w:eastAsia="zh-CN"/>
        </w:rPr>
        <w:t>ust</w:t>
      </w:r>
      <w:proofErr w:type="spellEnd"/>
      <w:r w:rsidR="00465E30" w:rsidRPr="00297A4B">
        <w:rPr>
          <w:rFonts w:eastAsia="SimSun"/>
          <w:b/>
          <w:sz w:val="18"/>
          <w:szCs w:val="18"/>
          <w:lang w:eastAsia="zh-CN"/>
        </w:rPr>
        <w:t>. zákona č. 128/2000 S., o obcích</w:t>
      </w:r>
      <w:r w:rsidRPr="00297A4B">
        <w:rPr>
          <w:b/>
          <w:sz w:val="18"/>
          <w:szCs w:val="18"/>
        </w:rPr>
        <w:t xml:space="preserve">. </w:t>
      </w:r>
    </w:p>
    <w:p w:rsidR="00263CA3" w:rsidRPr="00E1387F" w:rsidRDefault="00263CA3">
      <w:pPr>
        <w:pStyle w:val="Zkladntext2"/>
        <w:tabs>
          <w:tab w:val="left" w:pos="360"/>
        </w:tabs>
        <w:rPr>
          <w:sz w:val="18"/>
          <w:szCs w:val="18"/>
        </w:rPr>
      </w:pPr>
      <w:r w:rsidRPr="00E1387F">
        <w:rPr>
          <w:sz w:val="18"/>
          <w:szCs w:val="18"/>
        </w:rPr>
        <w:t>V souladu s </w:t>
      </w:r>
      <w:proofErr w:type="spellStart"/>
      <w:r w:rsidRPr="00E1387F">
        <w:rPr>
          <w:sz w:val="18"/>
          <w:szCs w:val="18"/>
        </w:rPr>
        <w:t>ust</w:t>
      </w:r>
      <w:proofErr w:type="spellEnd"/>
      <w:r w:rsidRPr="00E1387F">
        <w:rPr>
          <w:sz w:val="18"/>
          <w:szCs w:val="18"/>
        </w:rPr>
        <w:t>. čl. 18 odst. 1 stanov nemůže být zástupcem akcionáře člen představenstva nebo člen dozorčí rady společnosti.</w:t>
      </w:r>
    </w:p>
    <w:p w:rsidR="00263CA3" w:rsidRPr="00E1387F" w:rsidRDefault="00263CA3">
      <w:pPr>
        <w:pStyle w:val="Zkladntext2"/>
        <w:rPr>
          <w:sz w:val="18"/>
          <w:szCs w:val="18"/>
        </w:rPr>
      </w:pPr>
      <w:r w:rsidRPr="00E1387F">
        <w:rPr>
          <w:sz w:val="18"/>
          <w:szCs w:val="18"/>
        </w:rPr>
        <w:t>Akcionáři jsou oprávněni účastnit se valné hromady, hlasovat na ní, mají právo požadovat a dostat na ní vysvětlení záležitostí týkajících se společnosti, potřebné pro posouzení předmětu jednání valné hromady. Akcionáři mají právo uplatňovat návrhy a</w:t>
      </w:r>
      <w:r w:rsidR="00AD5B97">
        <w:rPr>
          <w:sz w:val="18"/>
          <w:szCs w:val="18"/>
        </w:rPr>
        <w:t> </w:t>
      </w:r>
      <w:r w:rsidRPr="00E1387F">
        <w:rPr>
          <w:sz w:val="18"/>
          <w:szCs w:val="18"/>
        </w:rPr>
        <w:t xml:space="preserve"> protinávrhy, přičemž jsou povinni se řídit zákonem a schváleným jednacím a hlasovacím řádem valné hromady. Hlasovací právo akcionáře se řídí jmenovitou hodnotou jeho akcií, přičemž každých 1.000,- Kč jmenovité hodnoty akcie představuje jeden hlas. Výkon hlasovacího práva jednoho akcionáře je omezen nejvyšším přípust</w:t>
      </w:r>
      <w:r w:rsidR="005C6C2C" w:rsidRPr="00E1387F">
        <w:rPr>
          <w:sz w:val="18"/>
          <w:szCs w:val="18"/>
        </w:rPr>
        <w:t>ným počtem hlasů, který činí 20</w:t>
      </w:r>
      <w:r w:rsidRPr="00E1387F">
        <w:rPr>
          <w:sz w:val="18"/>
          <w:szCs w:val="18"/>
        </w:rPr>
        <w:t xml:space="preserve"> % z celkového počtu hlasů připadajících na vydané akcie společnosti.</w:t>
      </w:r>
    </w:p>
    <w:p w:rsidR="00263CA3" w:rsidRPr="00AD5B97" w:rsidRDefault="00263CA3">
      <w:pPr>
        <w:pStyle w:val="Zkladntextodsazen"/>
        <w:spacing w:before="60"/>
        <w:ind w:left="0"/>
        <w:rPr>
          <w:b/>
          <w:sz w:val="20"/>
        </w:rPr>
      </w:pPr>
      <w:r w:rsidRPr="00AD5B97">
        <w:rPr>
          <w:b/>
          <w:sz w:val="20"/>
        </w:rPr>
        <w:t>Program</w:t>
      </w:r>
      <w:r w:rsidR="004E0FD3">
        <w:rPr>
          <w:b/>
          <w:sz w:val="20"/>
        </w:rPr>
        <w:t xml:space="preserve"> </w:t>
      </w:r>
      <w:r w:rsidRPr="00AD5B97">
        <w:rPr>
          <w:b/>
          <w:sz w:val="20"/>
        </w:rPr>
        <w:t>jednání:</w:t>
      </w:r>
    </w:p>
    <w:p w:rsidR="00AD5B97" w:rsidRPr="00AD5B97" w:rsidRDefault="00AD5B97">
      <w:pPr>
        <w:pStyle w:val="Zkladntextodsazen"/>
        <w:spacing w:before="60"/>
        <w:ind w:left="0"/>
        <w:rPr>
          <w:b/>
          <w:sz w:val="12"/>
          <w:szCs w:val="12"/>
        </w:rPr>
      </w:pPr>
    </w:p>
    <w:p w:rsidR="00263CA3" w:rsidRPr="00E1387F" w:rsidRDefault="00263CA3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ind w:left="426" w:hanging="426"/>
        <w:jc w:val="both"/>
        <w:rPr>
          <w:b w:val="0"/>
          <w:sz w:val="18"/>
          <w:szCs w:val="18"/>
        </w:rPr>
      </w:pPr>
      <w:r w:rsidRPr="00E1387F">
        <w:rPr>
          <w:b w:val="0"/>
          <w:sz w:val="18"/>
          <w:szCs w:val="18"/>
        </w:rPr>
        <w:t>Zahájení</w:t>
      </w:r>
      <w:r w:rsidR="00041CDB" w:rsidRPr="00E1387F">
        <w:rPr>
          <w:b w:val="0"/>
          <w:sz w:val="18"/>
          <w:szCs w:val="18"/>
        </w:rPr>
        <w:t>, v</w:t>
      </w:r>
      <w:r w:rsidRPr="00E1387F">
        <w:rPr>
          <w:b w:val="0"/>
          <w:sz w:val="18"/>
          <w:szCs w:val="18"/>
        </w:rPr>
        <w:t>olba pracovních orgánů valné hromady</w:t>
      </w:r>
      <w:r w:rsidR="00D16A55">
        <w:rPr>
          <w:b w:val="0"/>
          <w:sz w:val="18"/>
          <w:szCs w:val="18"/>
        </w:rPr>
        <w:t xml:space="preserve"> – předsedy, zapisovatele, ověřovatelů zápisu a osob pověřených sč</w:t>
      </w:r>
      <w:r w:rsidR="00404D34">
        <w:rPr>
          <w:b w:val="0"/>
          <w:sz w:val="18"/>
          <w:szCs w:val="18"/>
        </w:rPr>
        <w:t>ítáním hlasů</w:t>
      </w:r>
    </w:p>
    <w:p w:rsidR="00DE3BBF" w:rsidRDefault="00DE3BBF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ind w:left="426" w:hanging="426"/>
        <w:jc w:val="both"/>
        <w:rPr>
          <w:b w:val="0"/>
          <w:sz w:val="18"/>
          <w:szCs w:val="18"/>
        </w:rPr>
      </w:pPr>
      <w:r w:rsidRPr="00E1387F">
        <w:rPr>
          <w:b w:val="0"/>
          <w:sz w:val="18"/>
          <w:szCs w:val="18"/>
        </w:rPr>
        <w:t xml:space="preserve">Zpráva představenstva o podnikatelské činnosti a stavu majetku společnosti </w:t>
      </w:r>
      <w:r w:rsidR="008D4C69">
        <w:rPr>
          <w:b w:val="0"/>
          <w:sz w:val="18"/>
          <w:szCs w:val="18"/>
        </w:rPr>
        <w:t>za rok 2017</w:t>
      </w:r>
    </w:p>
    <w:p w:rsidR="00263CA3" w:rsidRPr="00E1387F" w:rsidRDefault="00263CA3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ind w:left="426" w:hanging="426"/>
        <w:jc w:val="both"/>
        <w:rPr>
          <w:b w:val="0"/>
          <w:sz w:val="18"/>
          <w:szCs w:val="18"/>
        </w:rPr>
      </w:pPr>
      <w:r w:rsidRPr="00E1387F">
        <w:rPr>
          <w:b w:val="0"/>
          <w:sz w:val="18"/>
          <w:szCs w:val="18"/>
        </w:rPr>
        <w:t xml:space="preserve">Zpráva dozorčí rady o </w:t>
      </w:r>
      <w:r w:rsidR="00041CDB" w:rsidRPr="00E1387F">
        <w:rPr>
          <w:b w:val="0"/>
          <w:sz w:val="18"/>
          <w:szCs w:val="18"/>
        </w:rPr>
        <w:t xml:space="preserve">výsledcích kontrolní činnosti a o </w:t>
      </w:r>
      <w:r w:rsidRPr="00E1387F">
        <w:rPr>
          <w:b w:val="0"/>
          <w:sz w:val="18"/>
          <w:szCs w:val="18"/>
        </w:rPr>
        <w:t xml:space="preserve">přezkoumání řádné </w:t>
      </w:r>
      <w:r w:rsidR="005C6C2C" w:rsidRPr="00E1387F">
        <w:rPr>
          <w:b w:val="0"/>
          <w:sz w:val="18"/>
          <w:szCs w:val="18"/>
        </w:rPr>
        <w:t xml:space="preserve">roční účetní závěrky za rok </w:t>
      </w:r>
      <w:r w:rsidR="00190DD4" w:rsidRPr="00E1387F">
        <w:rPr>
          <w:b w:val="0"/>
          <w:sz w:val="18"/>
          <w:szCs w:val="18"/>
        </w:rPr>
        <w:t>201</w:t>
      </w:r>
      <w:r w:rsidR="008D4C69">
        <w:rPr>
          <w:b w:val="0"/>
          <w:sz w:val="18"/>
          <w:szCs w:val="18"/>
        </w:rPr>
        <w:t>7</w:t>
      </w:r>
      <w:r w:rsidR="00D16A55">
        <w:rPr>
          <w:b w:val="0"/>
          <w:sz w:val="18"/>
          <w:szCs w:val="18"/>
        </w:rPr>
        <w:t xml:space="preserve"> </w:t>
      </w:r>
      <w:r w:rsidR="00883213" w:rsidRPr="00E1387F">
        <w:rPr>
          <w:b w:val="0"/>
          <w:sz w:val="18"/>
          <w:szCs w:val="18"/>
        </w:rPr>
        <w:t>a s</w:t>
      </w:r>
      <w:r w:rsidRPr="00E1387F">
        <w:rPr>
          <w:b w:val="0"/>
          <w:sz w:val="18"/>
          <w:szCs w:val="18"/>
        </w:rPr>
        <w:t xml:space="preserve">chválení řádné </w:t>
      </w:r>
      <w:r w:rsidR="005C6C2C" w:rsidRPr="00E1387F">
        <w:rPr>
          <w:b w:val="0"/>
          <w:sz w:val="18"/>
          <w:szCs w:val="18"/>
        </w:rPr>
        <w:t>roční účetní závěrky za rok 201</w:t>
      </w:r>
      <w:r w:rsidR="008D4C69">
        <w:rPr>
          <w:b w:val="0"/>
          <w:sz w:val="18"/>
          <w:szCs w:val="18"/>
        </w:rPr>
        <w:t>7</w:t>
      </w:r>
    </w:p>
    <w:p w:rsidR="00DE3BBF" w:rsidRPr="00DA5E9C" w:rsidRDefault="00BA008E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ind w:left="426" w:hanging="426"/>
        <w:jc w:val="both"/>
        <w:rPr>
          <w:b w:val="0"/>
          <w:sz w:val="18"/>
          <w:szCs w:val="18"/>
        </w:rPr>
      </w:pPr>
      <w:r w:rsidRPr="00DA5E9C">
        <w:rPr>
          <w:b w:val="0"/>
          <w:sz w:val="18"/>
          <w:szCs w:val="18"/>
        </w:rPr>
        <w:t>R</w:t>
      </w:r>
      <w:r w:rsidR="001A4E04" w:rsidRPr="00DA5E9C">
        <w:rPr>
          <w:b w:val="0"/>
          <w:sz w:val="18"/>
          <w:szCs w:val="18"/>
        </w:rPr>
        <w:t>ozhodnutí o rozdělení zisku</w:t>
      </w:r>
    </w:p>
    <w:p w:rsidR="00463997" w:rsidRDefault="00DA5E9C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E50361" w:rsidRPr="00DA5E9C">
        <w:rPr>
          <w:b w:val="0"/>
          <w:sz w:val="18"/>
          <w:szCs w:val="18"/>
        </w:rPr>
        <w:t>Schv</w:t>
      </w:r>
      <w:r w:rsidR="008F695C">
        <w:rPr>
          <w:b w:val="0"/>
          <w:sz w:val="18"/>
          <w:szCs w:val="18"/>
        </w:rPr>
        <w:t>álení auditorů pro rok 2018</w:t>
      </w:r>
    </w:p>
    <w:p w:rsidR="002A5E7D" w:rsidRPr="00FC7DC2" w:rsidRDefault="00404D34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ind w:left="426" w:hanging="426"/>
        <w:jc w:val="both"/>
        <w:rPr>
          <w:b w:val="0"/>
          <w:sz w:val="18"/>
          <w:szCs w:val="18"/>
        </w:rPr>
      </w:pPr>
      <w:r w:rsidRPr="00DA5E9C">
        <w:rPr>
          <w:b w:val="0"/>
          <w:sz w:val="18"/>
          <w:szCs w:val="18"/>
        </w:rPr>
        <w:t>Rozhodnutí o zvýšení</w:t>
      </w:r>
      <w:r w:rsidR="002A5E7D" w:rsidRPr="00DA5E9C">
        <w:rPr>
          <w:b w:val="0"/>
          <w:sz w:val="18"/>
          <w:szCs w:val="18"/>
        </w:rPr>
        <w:t xml:space="preserve"> základního kapitálu</w:t>
      </w:r>
      <w:r w:rsidR="008831B2" w:rsidRPr="00DA5E9C">
        <w:rPr>
          <w:b w:val="0"/>
          <w:sz w:val="18"/>
          <w:szCs w:val="18"/>
        </w:rPr>
        <w:t xml:space="preserve"> společnosti</w:t>
      </w:r>
      <w:r w:rsidR="00970A09" w:rsidRPr="00DA5E9C">
        <w:rPr>
          <w:b w:val="0"/>
          <w:sz w:val="18"/>
          <w:szCs w:val="18"/>
        </w:rPr>
        <w:t xml:space="preserve"> nepeněžitými</w:t>
      </w:r>
      <w:r w:rsidR="00970A09">
        <w:rPr>
          <w:b w:val="0"/>
          <w:sz w:val="18"/>
          <w:szCs w:val="18"/>
        </w:rPr>
        <w:t xml:space="preserve"> vklady</w:t>
      </w:r>
    </w:p>
    <w:p w:rsidR="00263CA3" w:rsidRPr="00E1387F" w:rsidRDefault="00263CA3" w:rsidP="00A354B3">
      <w:pPr>
        <w:pStyle w:val="Zkladntext0"/>
        <w:numPr>
          <w:ilvl w:val="0"/>
          <w:numId w:val="6"/>
        </w:numPr>
        <w:tabs>
          <w:tab w:val="left" w:pos="1222"/>
        </w:tabs>
        <w:spacing w:before="0" w:line="276" w:lineRule="auto"/>
        <w:ind w:left="426" w:hanging="426"/>
        <w:jc w:val="both"/>
        <w:rPr>
          <w:b w:val="0"/>
          <w:sz w:val="18"/>
          <w:szCs w:val="18"/>
        </w:rPr>
      </w:pPr>
      <w:r w:rsidRPr="00E1387F">
        <w:rPr>
          <w:b w:val="0"/>
          <w:sz w:val="18"/>
          <w:szCs w:val="18"/>
        </w:rPr>
        <w:t>Závěr</w:t>
      </w:r>
    </w:p>
    <w:p w:rsidR="00846948" w:rsidRPr="002907F0" w:rsidRDefault="00846948" w:rsidP="00F555AA">
      <w:pPr>
        <w:spacing w:beforeLines="60" w:before="144"/>
        <w:jc w:val="both"/>
        <w:rPr>
          <w:sz w:val="18"/>
          <w:szCs w:val="18"/>
        </w:rPr>
      </w:pPr>
      <w:r w:rsidRPr="00E1387F">
        <w:rPr>
          <w:sz w:val="18"/>
          <w:szCs w:val="18"/>
        </w:rPr>
        <w:t xml:space="preserve">Představenstvo předkládá program jednání valné hromady v obvyklém pořadí, odpovídající praxi předchozích valných hromad Vodohospodářské a obchodní společnosti, a.s. Veškeré body programu předkládané valné hromadě byly projednány představenstvem a návrhy na </w:t>
      </w:r>
      <w:r>
        <w:rPr>
          <w:sz w:val="18"/>
          <w:szCs w:val="18"/>
        </w:rPr>
        <w:t xml:space="preserve">níže uvedená </w:t>
      </w:r>
      <w:r w:rsidRPr="00E1387F">
        <w:rPr>
          <w:sz w:val="18"/>
          <w:szCs w:val="18"/>
        </w:rPr>
        <w:t xml:space="preserve">usnesení valné hromady odpovídají předchozím rozhodnutím ostatních orgánů společnosti.    </w:t>
      </w:r>
    </w:p>
    <w:p w:rsidR="006B02F8" w:rsidRPr="00E1387F" w:rsidRDefault="006B02F8" w:rsidP="006B02F8">
      <w:pPr>
        <w:pStyle w:val="Zkladntext0"/>
        <w:tabs>
          <w:tab w:val="left" w:pos="1232"/>
        </w:tabs>
        <w:ind w:firstLine="150"/>
        <w:jc w:val="both"/>
        <w:rPr>
          <w:b w:val="0"/>
          <w:sz w:val="18"/>
          <w:szCs w:val="18"/>
        </w:rPr>
      </w:pPr>
      <w:r w:rsidRPr="00F71B16">
        <w:rPr>
          <w:sz w:val="20"/>
        </w:rPr>
        <w:t>Vybrané údaje úč.</w:t>
      </w:r>
      <w:r w:rsidR="00E43377">
        <w:rPr>
          <w:sz w:val="20"/>
        </w:rPr>
        <w:t xml:space="preserve"> </w:t>
      </w:r>
      <w:r w:rsidR="008D4C69">
        <w:rPr>
          <w:sz w:val="20"/>
        </w:rPr>
        <w:t>závěrky za rok 2017</w:t>
      </w:r>
      <w:r w:rsidR="004D01C9">
        <w:rPr>
          <w:sz w:val="20"/>
        </w:rPr>
        <w:t xml:space="preserve"> </w:t>
      </w:r>
      <w:r w:rsidRPr="00E1387F">
        <w:rPr>
          <w:b w:val="0"/>
          <w:sz w:val="18"/>
          <w:szCs w:val="18"/>
        </w:rPr>
        <w:t>(v tis. Kč)</w:t>
      </w:r>
    </w:p>
    <w:tbl>
      <w:tblPr>
        <w:tblW w:w="0" w:type="auto"/>
        <w:tblInd w:w="257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96"/>
        <w:gridCol w:w="1632"/>
        <w:gridCol w:w="416"/>
        <w:gridCol w:w="2541"/>
        <w:gridCol w:w="1235"/>
        <w:gridCol w:w="1033"/>
      </w:tblGrid>
      <w:tr w:rsidR="00934E04" w:rsidRPr="00E1387F" w:rsidTr="00F87FD4">
        <w:tc>
          <w:tcPr>
            <w:tcW w:w="249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Aktiva celkem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D4297F" w:rsidP="008F695C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89</w:t>
            </w:r>
            <w:r w:rsidR="008F695C" w:rsidRPr="00A354B3">
              <w:rPr>
                <w:b/>
                <w:sz w:val="18"/>
                <w:szCs w:val="18"/>
              </w:rPr>
              <w:t>1</w:t>
            </w:r>
            <w:r w:rsidRPr="00A354B3">
              <w:rPr>
                <w:b/>
                <w:sz w:val="18"/>
                <w:szCs w:val="18"/>
              </w:rPr>
              <w:t xml:space="preserve"> </w:t>
            </w:r>
            <w:r w:rsidR="008F695C" w:rsidRPr="00A354B3">
              <w:rPr>
                <w:b/>
                <w:sz w:val="18"/>
                <w:szCs w:val="18"/>
              </w:rPr>
              <w:t>994</w:t>
            </w:r>
          </w:p>
        </w:tc>
        <w:tc>
          <w:tcPr>
            <w:tcW w:w="416" w:type="dxa"/>
            <w:tcBorders>
              <w:top w:val="single" w:sz="16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Pasiva celkem</w:t>
            </w:r>
          </w:p>
        </w:tc>
        <w:tc>
          <w:tcPr>
            <w:tcW w:w="12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D4297F" w:rsidP="008F695C">
            <w:pPr>
              <w:pStyle w:val="Styltabulky"/>
              <w:spacing w:before="120"/>
              <w:jc w:val="right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89</w:t>
            </w:r>
            <w:r w:rsidR="008F695C" w:rsidRPr="00A354B3">
              <w:rPr>
                <w:b/>
                <w:sz w:val="18"/>
                <w:szCs w:val="18"/>
              </w:rPr>
              <w:t>1</w:t>
            </w:r>
            <w:r w:rsidRPr="00A354B3">
              <w:rPr>
                <w:b/>
                <w:sz w:val="18"/>
                <w:szCs w:val="18"/>
              </w:rPr>
              <w:t xml:space="preserve"> </w:t>
            </w:r>
            <w:r w:rsidR="008F695C" w:rsidRPr="00A354B3">
              <w:rPr>
                <w:b/>
                <w:sz w:val="18"/>
                <w:szCs w:val="18"/>
              </w:rPr>
              <w:t>994</w:t>
            </w:r>
          </w:p>
        </w:tc>
        <w:tc>
          <w:tcPr>
            <w:tcW w:w="1033" w:type="dxa"/>
            <w:tcBorders>
              <w:top w:val="single" w:sz="16" w:space="0" w:color="000000"/>
              <w:left w:val="none" w:sz="0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934E04" w:rsidRPr="00E1387F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</w:tr>
      <w:tr w:rsidR="00934E04" w:rsidRPr="00E1387F" w:rsidTr="00F87FD4">
        <w:tc>
          <w:tcPr>
            <w:tcW w:w="24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Dlouhodobý majetek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D4297F" w:rsidP="00574C0E">
            <w:pPr>
              <w:pStyle w:val="Styltabulky"/>
              <w:spacing w:before="120"/>
              <w:jc w:val="center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6</w:t>
            </w:r>
            <w:r w:rsidR="008F695C" w:rsidRPr="00A354B3">
              <w:rPr>
                <w:sz w:val="18"/>
                <w:szCs w:val="18"/>
              </w:rPr>
              <w:t>69</w:t>
            </w:r>
            <w:r w:rsidRPr="00A354B3">
              <w:rPr>
                <w:sz w:val="18"/>
                <w:szCs w:val="18"/>
              </w:rPr>
              <w:t xml:space="preserve"> </w:t>
            </w:r>
            <w:r w:rsidR="008F695C" w:rsidRPr="00A354B3">
              <w:rPr>
                <w:sz w:val="18"/>
                <w:szCs w:val="18"/>
              </w:rPr>
              <w:t>4</w:t>
            </w:r>
            <w:r w:rsidR="00574C0E" w:rsidRPr="00A354B3">
              <w:rPr>
                <w:sz w:val="18"/>
                <w:szCs w:val="18"/>
              </w:rPr>
              <w:t>1</w:t>
            </w:r>
            <w:r w:rsidR="008F695C" w:rsidRPr="00A354B3">
              <w:rPr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Vlastní kapitál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8F695C" w:rsidP="008F695C">
            <w:pPr>
              <w:pStyle w:val="Styltabulky"/>
              <w:spacing w:before="120"/>
              <w:jc w:val="right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610</w:t>
            </w:r>
            <w:r w:rsidR="00D4297F" w:rsidRPr="00A354B3">
              <w:rPr>
                <w:sz w:val="18"/>
                <w:szCs w:val="18"/>
              </w:rPr>
              <w:t xml:space="preserve"> </w:t>
            </w:r>
            <w:r w:rsidRPr="00A354B3">
              <w:rPr>
                <w:sz w:val="18"/>
                <w:szCs w:val="18"/>
              </w:rPr>
              <w:t>987</w:t>
            </w:r>
          </w:p>
        </w:tc>
        <w:tc>
          <w:tcPr>
            <w:tcW w:w="103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934E04" w:rsidRPr="00D4297F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</w:tr>
      <w:tr w:rsidR="00934E04" w:rsidRPr="00E1387F" w:rsidTr="00F87FD4">
        <w:tc>
          <w:tcPr>
            <w:tcW w:w="24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Oběžná aktiva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D4297F" w:rsidP="008F695C">
            <w:pPr>
              <w:pStyle w:val="Styltabulky"/>
              <w:spacing w:before="120"/>
              <w:jc w:val="center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2</w:t>
            </w:r>
            <w:r w:rsidR="008F695C" w:rsidRPr="00A354B3">
              <w:rPr>
                <w:sz w:val="18"/>
                <w:szCs w:val="18"/>
              </w:rPr>
              <w:t>20</w:t>
            </w:r>
            <w:r w:rsidRPr="00A354B3">
              <w:rPr>
                <w:sz w:val="18"/>
                <w:szCs w:val="18"/>
              </w:rPr>
              <w:t xml:space="preserve"> </w:t>
            </w:r>
            <w:r w:rsidR="008F695C" w:rsidRPr="00A354B3">
              <w:rPr>
                <w:sz w:val="18"/>
                <w:szCs w:val="18"/>
              </w:rPr>
              <w:t>825</w:t>
            </w:r>
          </w:p>
        </w:tc>
        <w:tc>
          <w:tcPr>
            <w:tcW w:w="4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Cizí zdroje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D4297F" w:rsidP="00574C0E">
            <w:pPr>
              <w:pStyle w:val="Styltabulky"/>
              <w:spacing w:before="120"/>
              <w:jc w:val="right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2</w:t>
            </w:r>
            <w:r w:rsidR="008F695C" w:rsidRPr="00A354B3">
              <w:rPr>
                <w:sz w:val="18"/>
                <w:szCs w:val="18"/>
              </w:rPr>
              <w:t>8</w:t>
            </w:r>
            <w:r w:rsidR="00574C0E" w:rsidRPr="00A354B3">
              <w:rPr>
                <w:sz w:val="18"/>
                <w:szCs w:val="18"/>
              </w:rPr>
              <w:t>1</w:t>
            </w:r>
            <w:r w:rsidRPr="00A354B3">
              <w:rPr>
                <w:sz w:val="18"/>
                <w:szCs w:val="18"/>
              </w:rPr>
              <w:t xml:space="preserve"> </w:t>
            </w:r>
            <w:r w:rsidR="00574C0E" w:rsidRPr="00A354B3">
              <w:rPr>
                <w:sz w:val="18"/>
                <w:szCs w:val="18"/>
              </w:rPr>
              <w:t>007</w:t>
            </w:r>
          </w:p>
        </w:tc>
        <w:tc>
          <w:tcPr>
            <w:tcW w:w="103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934E04" w:rsidRPr="00D4297F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</w:tr>
      <w:tr w:rsidR="00934E04" w:rsidRPr="00E1387F" w:rsidTr="00F87FD4">
        <w:tc>
          <w:tcPr>
            <w:tcW w:w="24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Časové rozlišení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D4297F" w:rsidP="008F695C">
            <w:pPr>
              <w:pStyle w:val="Styltabulky"/>
              <w:spacing w:before="120"/>
              <w:jc w:val="center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1 7</w:t>
            </w:r>
            <w:r w:rsidR="008F695C" w:rsidRPr="00A354B3">
              <w:rPr>
                <w:sz w:val="18"/>
                <w:szCs w:val="18"/>
              </w:rPr>
              <w:t>59</w:t>
            </w:r>
          </w:p>
        </w:tc>
        <w:tc>
          <w:tcPr>
            <w:tcW w:w="4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Časové rozlišení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194967" w:rsidP="00F87FD4">
            <w:pPr>
              <w:pStyle w:val="Styltabulky"/>
              <w:spacing w:before="120"/>
              <w:jc w:val="right"/>
              <w:rPr>
                <w:sz w:val="18"/>
                <w:szCs w:val="18"/>
              </w:rPr>
            </w:pPr>
            <w:r w:rsidRPr="00A354B3"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934E04" w:rsidRPr="00D4297F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</w:tr>
      <w:tr w:rsidR="00934E04" w:rsidRPr="00E1387F" w:rsidTr="00F87FD4">
        <w:tc>
          <w:tcPr>
            <w:tcW w:w="9353" w:type="dxa"/>
            <w:gridSpan w:val="6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  <w:vAlign w:val="center"/>
          </w:tcPr>
          <w:p w:rsidR="00934E04" w:rsidRPr="00A354B3" w:rsidRDefault="00934E04" w:rsidP="00F87FD4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Tvorba zisku</w:t>
            </w:r>
          </w:p>
        </w:tc>
      </w:tr>
      <w:tr w:rsidR="00934E04" w:rsidRPr="00E1387F" w:rsidTr="00F87FD4">
        <w:tc>
          <w:tcPr>
            <w:tcW w:w="249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Celkové výnosy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FC12F9" w:rsidP="00FC12F9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210</w:t>
            </w:r>
            <w:r w:rsidR="00D4297F" w:rsidRPr="00A354B3">
              <w:rPr>
                <w:b/>
                <w:sz w:val="18"/>
                <w:szCs w:val="18"/>
              </w:rPr>
              <w:t xml:space="preserve"> </w:t>
            </w:r>
            <w:r w:rsidRPr="00A354B3">
              <w:rPr>
                <w:b/>
                <w:sz w:val="18"/>
                <w:szCs w:val="18"/>
              </w:rPr>
              <w:t>715</w:t>
            </w:r>
          </w:p>
        </w:tc>
        <w:tc>
          <w:tcPr>
            <w:tcW w:w="4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Celkové náklady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FC12F9" w:rsidP="00F87FD4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197 833</w:t>
            </w:r>
          </w:p>
        </w:tc>
        <w:tc>
          <w:tcPr>
            <w:tcW w:w="103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16" w:space="0" w:color="000000"/>
            </w:tcBorders>
            <w:shd w:val="clear" w:color="000000" w:fill="auto"/>
          </w:tcPr>
          <w:p w:rsidR="00934E04" w:rsidRPr="00D4297F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</w:tr>
      <w:tr w:rsidR="00934E04" w:rsidRPr="00E1387F" w:rsidTr="00F87FD4">
        <w:tc>
          <w:tcPr>
            <w:tcW w:w="249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Hospodářský výsledek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934E04" w:rsidRPr="00A354B3" w:rsidRDefault="00FC12F9" w:rsidP="00FC12F9">
            <w:pPr>
              <w:pStyle w:val="Styltabulky"/>
              <w:spacing w:before="120"/>
              <w:jc w:val="center"/>
              <w:rPr>
                <w:b/>
                <w:sz w:val="18"/>
                <w:szCs w:val="18"/>
              </w:rPr>
            </w:pPr>
            <w:r w:rsidRPr="00A354B3">
              <w:rPr>
                <w:b/>
                <w:sz w:val="18"/>
                <w:szCs w:val="18"/>
              </w:rPr>
              <w:t>12 882</w:t>
            </w:r>
          </w:p>
        </w:tc>
        <w:tc>
          <w:tcPr>
            <w:tcW w:w="416" w:type="dxa"/>
            <w:tcBorders>
              <w:top w:val="single" w:sz="8" w:space="0" w:color="000000"/>
              <w:left w:val="none" w:sz="0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jc w:val="center"/>
              <w:rPr>
                <w:color w:val="FFFF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000000" w:fill="auto"/>
          </w:tcPr>
          <w:p w:rsidR="00934E04" w:rsidRPr="00A354B3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one" w:sz="0" w:space="0" w:color="000000"/>
            </w:tcBorders>
            <w:shd w:val="clear" w:color="000000" w:fill="auto"/>
          </w:tcPr>
          <w:p w:rsidR="00934E04" w:rsidRPr="008D4C69" w:rsidRDefault="00934E04" w:rsidP="00F87FD4">
            <w:pPr>
              <w:pStyle w:val="Styltabulky"/>
              <w:spacing w:before="120"/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none" w:sz="0" w:space="0" w:color="000000"/>
              <w:bottom w:val="single" w:sz="16" w:space="0" w:color="000000"/>
              <w:right w:val="single" w:sz="16" w:space="0" w:color="000000"/>
            </w:tcBorders>
            <w:shd w:val="clear" w:color="000000" w:fill="auto"/>
          </w:tcPr>
          <w:p w:rsidR="00934E04" w:rsidRPr="00D4297F" w:rsidRDefault="00934E04" w:rsidP="00F87FD4">
            <w:pPr>
              <w:pStyle w:val="Styltabulky"/>
              <w:spacing w:before="120"/>
              <w:rPr>
                <w:sz w:val="18"/>
                <w:szCs w:val="18"/>
              </w:rPr>
            </w:pPr>
          </w:p>
        </w:tc>
      </w:tr>
    </w:tbl>
    <w:p w:rsidR="007A1E60" w:rsidRDefault="007A1E60" w:rsidP="00AD5B97">
      <w:pPr>
        <w:pStyle w:val="Zkladntextodsazen"/>
        <w:spacing w:before="60"/>
        <w:ind w:left="0"/>
        <w:rPr>
          <w:b/>
          <w:sz w:val="20"/>
        </w:rPr>
      </w:pPr>
    </w:p>
    <w:p w:rsidR="00846948" w:rsidRPr="00AD5B97" w:rsidRDefault="00846948" w:rsidP="00AD5B97">
      <w:pPr>
        <w:pStyle w:val="Zkladntextodsazen"/>
        <w:spacing w:before="60"/>
        <w:ind w:left="0"/>
        <w:rPr>
          <w:b/>
          <w:sz w:val="20"/>
        </w:rPr>
      </w:pPr>
      <w:r w:rsidRPr="00AD5B97">
        <w:rPr>
          <w:b/>
          <w:sz w:val="20"/>
        </w:rPr>
        <w:t>Vyjádření představenstva k jednotlivým bodům navrženého programu jednání</w:t>
      </w:r>
    </w:p>
    <w:p w:rsidR="00846948" w:rsidRDefault="00846948" w:rsidP="00D534D6">
      <w:pPr>
        <w:pStyle w:val="Zkladntext0"/>
        <w:tabs>
          <w:tab w:val="left" w:pos="1222"/>
        </w:tabs>
        <w:spacing w:before="0"/>
        <w:jc w:val="both"/>
        <w:rPr>
          <w:sz w:val="18"/>
          <w:szCs w:val="18"/>
        </w:rPr>
      </w:pPr>
    </w:p>
    <w:p w:rsidR="00125C6A" w:rsidRDefault="00BA008E" w:rsidP="00324A0F">
      <w:pPr>
        <w:pStyle w:val="Zkladntext0"/>
        <w:tabs>
          <w:tab w:val="left" w:pos="1222"/>
        </w:tabs>
        <w:spacing w:before="0"/>
        <w:jc w:val="both"/>
        <w:rPr>
          <w:b w:val="0"/>
          <w:sz w:val="18"/>
          <w:szCs w:val="18"/>
        </w:rPr>
      </w:pPr>
      <w:r w:rsidRPr="007C0AB7">
        <w:rPr>
          <w:sz w:val="18"/>
          <w:szCs w:val="18"/>
        </w:rPr>
        <w:t xml:space="preserve">K bodu č. 1, 2, 3 a 4 </w:t>
      </w:r>
      <w:r w:rsidR="00DE3BBF" w:rsidRPr="007C0AB7">
        <w:rPr>
          <w:sz w:val="18"/>
          <w:szCs w:val="18"/>
        </w:rPr>
        <w:t xml:space="preserve"> -</w:t>
      </w:r>
      <w:r w:rsidR="00DE3BBF" w:rsidRPr="007C0AB7">
        <w:rPr>
          <w:b w:val="0"/>
          <w:sz w:val="18"/>
          <w:szCs w:val="18"/>
        </w:rPr>
        <w:t xml:space="preserve">  Jde o tradiční a povinné záležitosti projednávané každoročně valnou hromadou společnosti, jejichž obsah a potřeba projednání vyplývá z příslušných právních předpisů, ustanovení stanov společnosti a výsledků příslušné r</w:t>
      </w:r>
      <w:r w:rsidRPr="007C0AB7">
        <w:rPr>
          <w:b w:val="0"/>
          <w:sz w:val="18"/>
          <w:szCs w:val="18"/>
        </w:rPr>
        <w:t>oční účetní závěrky společnosti</w:t>
      </w:r>
      <w:r w:rsidR="00DE3BBF" w:rsidRPr="007C0AB7">
        <w:rPr>
          <w:b w:val="0"/>
          <w:sz w:val="18"/>
          <w:szCs w:val="18"/>
        </w:rPr>
        <w:t>.</w:t>
      </w:r>
      <w:r w:rsidR="00D16A55" w:rsidRPr="00D16A55">
        <w:rPr>
          <w:b w:val="0"/>
          <w:sz w:val="18"/>
          <w:szCs w:val="18"/>
        </w:rPr>
        <w:t xml:space="preserve"> </w:t>
      </w:r>
    </w:p>
    <w:p w:rsidR="00463997" w:rsidRDefault="00463997" w:rsidP="00A4486D">
      <w:pPr>
        <w:pStyle w:val="Zkladntext0"/>
        <w:tabs>
          <w:tab w:val="left" w:pos="1222"/>
        </w:tabs>
        <w:spacing w:before="0"/>
        <w:jc w:val="both"/>
        <w:rPr>
          <w:sz w:val="18"/>
          <w:szCs w:val="18"/>
        </w:rPr>
      </w:pPr>
    </w:p>
    <w:p w:rsidR="00463997" w:rsidRDefault="00463997" w:rsidP="00A4486D">
      <w:pPr>
        <w:pStyle w:val="Zkladntext0"/>
        <w:tabs>
          <w:tab w:val="left" w:pos="1222"/>
        </w:tabs>
        <w:spacing w:before="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K bodu č. 5 -  </w:t>
      </w:r>
      <w:r w:rsidRPr="007B4B26">
        <w:rPr>
          <w:b w:val="0"/>
          <w:sz w:val="18"/>
          <w:szCs w:val="18"/>
        </w:rPr>
        <w:t>Představenstvo společnosti předkládá valné hromadě návrh na určení auditora za účelem provedení</w:t>
      </w:r>
      <w:r w:rsidR="00E50361" w:rsidRPr="007B4B26">
        <w:rPr>
          <w:b w:val="0"/>
          <w:sz w:val="18"/>
          <w:szCs w:val="18"/>
        </w:rPr>
        <w:t xml:space="preserve"> povinného auditu</w:t>
      </w:r>
      <w:r w:rsidR="00796462" w:rsidRPr="00796462">
        <w:rPr>
          <w:b w:val="0"/>
          <w:sz w:val="18"/>
          <w:szCs w:val="18"/>
        </w:rPr>
        <w:t xml:space="preserve"> </w:t>
      </w:r>
      <w:r w:rsidR="00796462" w:rsidRPr="007B4B26">
        <w:rPr>
          <w:b w:val="0"/>
          <w:sz w:val="18"/>
          <w:szCs w:val="18"/>
        </w:rPr>
        <w:t xml:space="preserve">včetně ověření účetní závěrky Vodohospodářské a obchodní společnosti, a.s. </w:t>
      </w:r>
      <w:r w:rsidR="00E50361" w:rsidRPr="007B4B26">
        <w:rPr>
          <w:b w:val="0"/>
          <w:sz w:val="18"/>
          <w:szCs w:val="18"/>
        </w:rPr>
        <w:t>na období rok</w:t>
      </w:r>
      <w:r w:rsidR="008F695C">
        <w:rPr>
          <w:b w:val="0"/>
          <w:sz w:val="18"/>
          <w:szCs w:val="18"/>
        </w:rPr>
        <w:t>u</w:t>
      </w:r>
      <w:r w:rsidR="00E50361" w:rsidRPr="007B4B26">
        <w:rPr>
          <w:b w:val="0"/>
          <w:sz w:val="18"/>
          <w:szCs w:val="18"/>
        </w:rPr>
        <w:t xml:space="preserve"> 2018 </w:t>
      </w:r>
      <w:r w:rsidRPr="007B4B26">
        <w:rPr>
          <w:b w:val="0"/>
          <w:sz w:val="18"/>
          <w:szCs w:val="18"/>
        </w:rPr>
        <w:t xml:space="preserve">a jako auditora navrhuje </w:t>
      </w:r>
      <w:r w:rsidRPr="00E962ED">
        <w:rPr>
          <w:b w:val="0"/>
          <w:sz w:val="18"/>
          <w:szCs w:val="18"/>
        </w:rPr>
        <w:t>společnost</w:t>
      </w:r>
      <w:r w:rsidR="00E962ED" w:rsidRPr="00E962ED">
        <w:rPr>
          <w:b w:val="0"/>
          <w:sz w:val="18"/>
          <w:szCs w:val="18"/>
        </w:rPr>
        <w:t xml:space="preserve"> ÚČTY spol. s r.o., se sídlem Patrného 193, Pražské Předměstí, 551 01 Jaroměř, IČ: 25263391</w:t>
      </w:r>
      <w:r w:rsidRPr="00E962ED">
        <w:rPr>
          <w:b w:val="0"/>
          <w:sz w:val="18"/>
          <w:szCs w:val="18"/>
        </w:rPr>
        <w:t>, číslo oprávnění Kom</w:t>
      </w:r>
      <w:r w:rsidR="007B4B26" w:rsidRPr="00E962ED">
        <w:rPr>
          <w:b w:val="0"/>
          <w:sz w:val="18"/>
          <w:szCs w:val="18"/>
        </w:rPr>
        <w:t>or</w:t>
      </w:r>
      <w:r w:rsidR="00E962ED" w:rsidRPr="00E962ED">
        <w:rPr>
          <w:b w:val="0"/>
          <w:sz w:val="18"/>
          <w:szCs w:val="18"/>
        </w:rPr>
        <w:t>y auditorů České republiky č. 567</w:t>
      </w:r>
      <w:r w:rsidRPr="00E962ED">
        <w:rPr>
          <w:b w:val="0"/>
          <w:sz w:val="18"/>
          <w:szCs w:val="18"/>
        </w:rPr>
        <w:t>.</w:t>
      </w:r>
      <w:r w:rsidR="007B4B26" w:rsidRPr="007B4B26">
        <w:rPr>
          <w:b w:val="0"/>
          <w:sz w:val="18"/>
          <w:szCs w:val="18"/>
        </w:rPr>
        <w:t xml:space="preserve"> Navržená auditorská společnost byla </w:t>
      </w:r>
      <w:r w:rsidR="007B4B26">
        <w:rPr>
          <w:b w:val="0"/>
          <w:sz w:val="18"/>
          <w:szCs w:val="18"/>
        </w:rPr>
        <w:t xml:space="preserve">představenstvem </w:t>
      </w:r>
      <w:r w:rsidR="007B4B26" w:rsidRPr="007B4B26">
        <w:rPr>
          <w:b w:val="0"/>
          <w:sz w:val="18"/>
          <w:szCs w:val="18"/>
        </w:rPr>
        <w:t>vybrána na základě výběrového řízení.</w:t>
      </w:r>
    </w:p>
    <w:p w:rsidR="0003470E" w:rsidRDefault="0003470E" w:rsidP="00A4486D">
      <w:pPr>
        <w:pStyle w:val="Zkladntext0"/>
        <w:tabs>
          <w:tab w:val="left" w:pos="1222"/>
        </w:tabs>
        <w:spacing w:before="0"/>
        <w:jc w:val="both"/>
        <w:rPr>
          <w:b w:val="0"/>
          <w:sz w:val="18"/>
          <w:szCs w:val="18"/>
        </w:rPr>
      </w:pPr>
    </w:p>
    <w:p w:rsidR="00E962ED" w:rsidRDefault="00E962ED" w:rsidP="0003470E">
      <w:pPr>
        <w:pStyle w:val="Zkladntext0"/>
        <w:tabs>
          <w:tab w:val="left" w:pos="1222"/>
        </w:tabs>
        <w:spacing w:before="0" w:line="360" w:lineRule="auto"/>
        <w:jc w:val="both"/>
        <w:rPr>
          <w:sz w:val="18"/>
          <w:szCs w:val="18"/>
        </w:rPr>
      </w:pPr>
    </w:p>
    <w:p w:rsidR="00E50361" w:rsidRDefault="00E50361" w:rsidP="00A4486D">
      <w:pPr>
        <w:pStyle w:val="Zkladntext0"/>
        <w:tabs>
          <w:tab w:val="left" w:pos="1222"/>
        </w:tabs>
        <w:spacing w:before="0"/>
        <w:jc w:val="both"/>
        <w:rPr>
          <w:sz w:val="18"/>
          <w:szCs w:val="18"/>
        </w:rPr>
      </w:pPr>
    </w:p>
    <w:p w:rsidR="00A4486D" w:rsidRDefault="00E962ED" w:rsidP="00A4486D">
      <w:pPr>
        <w:pStyle w:val="Zkladntext0"/>
        <w:tabs>
          <w:tab w:val="left" w:pos="1222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K bodu č. 6</w:t>
      </w:r>
      <w:r w:rsidR="007C45CE">
        <w:rPr>
          <w:sz w:val="18"/>
          <w:szCs w:val="18"/>
        </w:rPr>
        <w:t xml:space="preserve"> - </w:t>
      </w:r>
      <w:r w:rsidR="004639D7">
        <w:rPr>
          <w:sz w:val="18"/>
          <w:szCs w:val="18"/>
        </w:rPr>
        <w:t xml:space="preserve"> </w:t>
      </w:r>
      <w:r w:rsidR="00A4486D">
        <w:rPr>
          <w:sz w:val="18"/>
          <w:szCs w:val="18"/>
        </w:rPr>
        <w:t>Rozhodnutí o zvýšení základního kapitálu společnosti nepeněžitými vklady</w:t>
      </w:r>
    </w:p>
    <w:p w:rsidR="00970A09" w:rsidRDefault="00970A09" w:rsidP="00B3098F">
      <w:pPr>
        <w:pStyle w:val="Odstavecseseznamem"/>
        <w:ind w:left="0"/>
        <w:jc w:val="both"/>
        <w:rPr>
          <w:bCs/>
          <w:sz w:val="18"/>
          <w:szCs w:val="18"/>
        </w:rPr>
      </w:pPr>
    </w:p>
    <w:p w:rsidR="008D4C69" w:rsidRPr="00B3098F" w:rsidRDefault="008D4C69" w:rsidP="001F07FB">
      <w:pPr>
        <w:pStyle w:val="Odstavecseseznamem"/>
        <w:ind w:left="0" w:right="-25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Na valné hromadě v roce 2016 bylo konstatováno, že </w:t>
      </w:r>
      <w:r w:rsidRPr="00F87FD4">
        <w:rPr>
          <w:bCs/>
          <w:sz w:val="18"/>
          <w:szCs w:val="18"/>
        </w:rPr>
        <w:t xml:space="preserve">Vodohospodářská a obchodní společnost, a.s. </w:t>
      </w:r>
      <w:r>
        <w:rPr>
          <w:bCs/>
          <w:sz w:val="18"/>
          <w:szCs w:val="18"/>
        </w:rPr>
        <w:t xml:space="preserve">kromě provozování vlastní </w:t>
      </w:r>
      <w:r>
        <w:rPr>
          <w:sz w:val="18"/>
          <w:szCs w:val="18"/>
        </w:rPr>
        <w:t>vodárenské infrastruktury provozuje také vodárenskou infrastrukturu ve vlastnictví měst nebo obcí</w:t>
      </w:r>
      <w:r w:rsidRPr="00B3098F">
        <w:rPr>
          <w:sz w:val="18"/>
          <w:szCs w:val="18"/>
        </w:rPr>
        <w:t xml:space="preserve"> našeho regionu</w:t>
      </w:r>
      <w:r>
        <w:rPr>
          <w:sz w:val="18"/>
          <w:szCs w:val="18"/>
        </w:rPr>
        <w:t xml:space="preserve"> a že pro tato </w:t>
      </w:r>
      <w:r w:rsidRPr="00B3098F">
        <w:rPr>
          <w:sz w:val="18"/>
          <w:szCs w:val="18"/>
        </w:rPr>
        <w:t>měst</w:t>
      </w:r>
      <w:r>
        <w:rPr>
          <w:sz w:val="18"/>
          <w:szCs w:val="18"/>
        </w:rPr>
        <w:t>a a obce, ale i společnost, je výhodné, aby tuto vodárenskou infrastrukturu naše společnost nejen provozovala, ale ji i vlastnila. Převodem této infrastruktury na společnost</w:t>
      </w:r>
      <w:r w:rsidRPr="00B3098F">
        <w:rPr>
          <w:sz w:val="18"/>
          <w:szCs w:val="18"/>
        </w:rPr>
        <w:t xml:space="preserve"> se </w:t>
      </w:r>
      <w:r>
        <w:rPr>
          <w:sz w:val="18"/>
          <w:szCs w:val="18"/>
        </w:rPr>
        <w:t xml:space="preserve">města a obce </w:t>
      </w:r>
      <w:r w:rsidRPr="00B3098F">
        <w:rPr>
          <w:sz w:val="18"/>
          <w:szCs w:val="18"/>
        </w:rPr>
        <w:t>zbaví budoucí</w:t>
      </w:r>
      <w:r>
        <w:rPr>
          <w:sz w:val="18"/>
          <w:szCs w:val="18"/>
        </w:rPr>
        <w:t xml:space="preserve">ch starostí s obnovou majetku, pokračující provozování této infrastruktury bude nadále v odborné péči naší vodohospodářské </w:t>
      </w:r>
      <w:r w:rsidRPr="00B3098F">
        <w:rPr>
          <w:sz w:val="18"/>
          <w:szCs w:val="18"/>
        </w:rPr>
        <w:t xml:space="preserve">společnosti, kterou </w:t>
      </w:r>
      <w:r>
        <w:rPr>
          <w:sz w:val="18"/>
          <w:szCs w:val="18"/>
        </w:rPr>
        <w:t xml:space="preserve">města o obce </w:t>
      </w:r>
      <w:r w:rsidRPr="00B3098F">
        <w:rPr>
          <w:sz w:val="18"/>
          <w:szCs w:val="18"/>
        </w:rPr>
        <w:t>plně ovládají a která by</w:t>
      </w:r>
      <w:r>
        <w:rPr>
          <w:sz w:val="18"/>
          <w:szCs w:val="18"/>
        </w:rPr>
        <w:t xml:space="preserve">la za tímto účelem vytvořena. </w:t>
      </w:r>
    </w:p>
    <w:p w:rsidR="008D4C69" w:rsidRDefault="008D4C69" w:rsidP="001F07FB">
      <w:pPr>
        <w:ind w:right="-25"/>
        <w:jc w:val="both"/>
        <w:rPr>
          <w:sz w:val="18"/>
          <w:szCs w:val="18"/>
        </w:rPr>
      </w:pPr>
      <w:r w:rsidRPr="00112FD1">
        <w:rPr>
          <w:rFonts w:eastAsia="SimSun"/>
          <w:sz w:val="18"/>
          <w:szCs w:val="18"/>
          <w:lang w:eastAsia="zh-CN"/>
        </w:rPr>
        <w:t>Jako optimální způsob řešení předs</w:t>
      </w:r>
      <w:r>
        <w:rPr>
          <w:rFonts w:eastAsia="SimSun"/>
          <w:sz w:val="18"/>
          <w:szCs w:val="18"/>
          <w:lang w:eastAsia="zh-CN"/>
        </w:rPr>
        <w:t>tavenstvo společnosti doporučilo</w:t>
      </w:r>
      <w:r w:rsidRPr="00112FD1">
        <w:rPr>
          <w:rFonts w:eastAsia="SimSun"/>
          <w:sz w:val="18"/>
          <w:szCs w:val="18"/>
          <w:lang w:eastAsia="zh-CN"/>
        </w:rPr>
        <w:t xml:space="preserve"> </w:t>
      </w:r>
      <w:r>
        <w:rPr>
          <w:rFonts w:eastAsia="SimSun"/>
          <w:sz w:val="18"/>
          <w:szCs w:val="18"/>
          <w:lang w:eastAsia="zh-CN"/>
        </w:rPr>
        <w:t>postup</w:t>
      </w:r>
      <w:r w:rsidRPr="00112FD1">
        <w:rPr>
          <w:rFonts w:eastAsia="SimSun"/>
          <w:sz w:val="18"/>
          <w:szCs w:val="18"/>
          <w:lang w:eastAsia="zh-CN"/>
        </w:rPr>
        <w:t xml:space="preserve"> spočívající ve z</w:t>
      </w:r>
      <w:r w:rsidRPr="00112FD1">
        <w:rPr>
          <w:sz w:val="18"/>
          <w:szCs w:val="18"/>
        </w:rPr>
        <w:t xml:space="preserve">výšení </w:t>
      </w:r>
      <w:r>
        <w:rPr>
          <w:sz w:val="18"/>
          <w:szCs w:val="18"/>
        </w:rPr>
        <w:t xml:space="preserve">(zvyšování) </w:t>
      </w:r>
      <w:r w:rsidRPr="00112FD1">
        <w:rPr>
          <w:sz w:val="18"/>
          <w:szCs w:val="18"/>
        </w:rPr>
        <w:t xml:space="preserve">základního kapitálu společnosti upsáním nových akcií, přičemž emisní kurs nových akcií </w:t>
      </w:r>
      <w:r>
        <w:rPr>
          <w:sz w:val="18"/>
          <w:szCs w:val="18"/>
        </w:rPr>
        <w:t xml:space="preserve">bude splacen </w:t>
      </w:r>
      <w:r w:rsidRPr="00112FD1">
        <w:rPr>
          <w:sz w:val="18"/>
          <w:szCs w:val="18"/>
        </w:rPr>
        <w:t xml:space="preserve">a vkladová povinnost bude splněna vnesením nepeněžitých vkladů, jejichž předmětem bude </w:t>
      </w:r>
      <w:r>
        <w:rPr>
          <w:sz w:val="18"/>
          <w:szCs w:val="18"/>
        </w:rPr>
        <w:t xml:space="preserve">výše uvedený </w:t>
      </w:r>
      <w:r w:rsidRPr="00112FD1">
        <w:rPr>
          <w:sz w:val="18"/>
          <w:szCs w:val="18"/>
        </w:rPr>
        <w:t xml:space="preserve">vodohospodářský </w:t>
      </w:r>
      <w:r>
        <w:rPr>
          <w:sz w:val="18"/>
          <w:szCs w:val="18"/>
        </w:rPr>
        <w:t>majetek</w:t>
      </w:r>
      <w:r w:rsidRPr="00112FD1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dosud provozovaný naší společností, </w:t>
      </w:r>
      <w:r w:rsidRPr="00112FD1">
        <w:rPr>
          <w:sz w:val="18"/>
          <w:szCs w:val="18"/>
        </w:rPr>
        <w:t>včetně majetku souvisejícího</w:t>
      </w:r>
      <w:r>
        <w:rPr>
          <w:sz w:val="18"/>
          <w:szCs w:val="18"/>
        </w:rPr>
        <w:t>.</w:t>
      </w:r>
    </w:p>
    <w:p w:rsidR="008D4C69" w:rsidRDefault="008D4C69" w:rsidP="003441B6">
      <w:pPr>
        <w:pStyle w:val="Odstavecseseznamem"/>
        <w:ind w:left="0" w:right="-25"/>
        <w:jc w:val="both"/>
        <w:rPr>
          <w:sz w:val="18"/>
          <w:szCs w:val="18"/>
        </w:rPr>
      </w:pPr>
    </w:p>
    <w:p w:rsidR="008D4C69" w:rsidRDefault="008D4C69" w:rsidP="003441B6">
      <w:pPr>
        <w:ind w:right="-25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Za tímto účelem </w:t>
      </w:r>
      <w:r w:rsidRPr="00FF7D52">
        <w:rPr>
          <w:rFonts w:eastAsia="SimSun"/>
          <w:sz w:val="18"/>
          <w:szCs w:val="18"/>
          <w:lang w:eastAsia="zh-CN"/>
        </w:rPr>
        <w:t xml:space="preserve">představenstvo společnosti připravilo </w:t>
      </w:r>
      <w:r>
        <w:rPr>
          <w:rFonts w:eastAsia="SimSun"/>
          <w:sz w:val="18"/>
          <w:szCs w:val="18"/>
          <w:lang w:eastAsia="zh-CN"/>
        </w:rPr>
        <w:t xml:space="preserve">a valná hromada v roce 2016 schválila </w:t>
      </w:r>
      <w:r w:rsidRPr="00FF7D52">
        <w:rPr>
          <w:rFonts w:eastAsia="SimSun"/>
          <w:sz w:val="18"/>
          <w:szCs w:val="18"/>
          <w:lang w:eastAsia="zh-CN"/>
        </w:rPr>
        <w:t xml:space="preserve">tzv. </w:t>
      </w:r>
      <w:r w:rsidRPr="00112FD1">
        <w:rPr>
          <w:sz w:val="18"/>
          <w:szCs w:val="18"/>
        </w:rPr>
        <w:t>Zásady pro oceňování nepeněžitých vkladů a stanovení emisních ážií za účelem zvyšování základního kapitálu společnosti Vodohospodář</w:t>
      </w:r>
      <w:r>
        <w:rPr>
          <w:sz w:val="18"/>
          <w:szCs w:val="18"/>
        </w:rPr>
        <w:t>s</w:t>
      </w:r>
      <w:r w:rsidR="00460377">
        <w:rPr>
          <w:sz w:val="18"/>
          <w:szCs w:val="18"/>
        </w:rPr>
        <w:t xml:space="preserve">ká a obchodní společnost, </w:t>
      </w:r>
      <w:proofErr w:type="gramStart"/>
      <w:r w:rsidR="00460377">
        <w:rPr>
          <w:sz w:val="18"/>
          <w:szCs w:val="18"/>
        </w:rPr>
        <w:t>a.s..</w:t>
      </w:r>
      <w:proofErr w:type="gramEnd"/>
      <w:r w:rsidR="00460377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Tyto Zásady zabezpečují</w:t>
      </w:r>
      <w:r w:rsidRPr="007F6038">
        <w:rPr>
          <w:color w:val="000000"/>
          <w:sz w:val="18"/>
          <w:szCs w:val="18"/>
        </w:rPr>
        <w:t xml:space="preserve"> jednotný postup při přejímání nepeněžitých vkladů infrastrukturního ch</w:t>
      </w:r>
      <w:r>
        <w:rPr>
          <w:color w:val="000000"/>
          <w:sz w:val="18"/>
          <w:szCs w:val="18"/>
        </w:rPr>
        <w:t>arakteru do majetku společnosti.</w:t>
      </w:r>
    </w:p>
    <w:p w:rsidR="00DA5E9C" w:rsidRPr="009031A2" w:rsidRDefault="00DA5E9C" w:rsidP="003441B6">
      <w:pPr>
        <w:ind w:right="-25"/>
        <w:jc w:val="both"/>
        <w:rPr>
          <w:sz w:val="18"/>
          <w:szCs w:val="18"/>
        </w:rPr>
      </w:pPr>
      <w:r w:rsidRPr="00DA5E9C">
        <w:rPr>
          <w:sz w:val="18"/>
          <w:szCs w:val="18"/>
        </w:rPr>
        <w:t xml:space="preserve">V uplynulém roce byl uvedeným způsobem zvýšen základní kapitál naší společnosti </w:t>
      </w:r>
      <w:r w:rsidRPr="00DA5E9C">
        <w:rPr>
          <w:color w:val="000000"/>
          <w:sz w:val="18"/>
          <w:szCs w:val="18"/>
        </w:rPr>
        <w:t xml:space="preserve">o částku 104.430.000,- Kč </w:t>
      </w:r>
      <w:r w:rsidRPr="00DA5E9C">
        <w:rPr>
          <w:sz w:val="18"/>
          <w:szCs w:val="18"/>
        </w:rPr>
        <w:t xml:space="preserve">upsáním nových kmenových akcií společnosti nepeněžitými vklady stávajících akcionářů, a to </w:t>
      </w:r>
      <w:r w:rsidRPr="00DA5E9C">
        <w:rPr>
          <w:color w:val="000000"/>
          <w:sz w:val="18"/>
          <w:szCs w:val="18"/>
        </w:rPr>
        <w:t>vklady města Jičína, města Hořice, města Lázně Bělohrad, města Libáň, města Sobotka, města Nová Paka, města Kopidlno, městyse Pecka a obce Osek.</w:t>
      </w:r>
    </w:p>
    <w:p w:rsidR="008D4C69" w:rsidRPr="002A332A" w:rsidRDefault="008D4C69" w:rsidP="003441B6">
      <w:pPr>
        <w:spacing w:before="144"/>
        <w:ind w:right="-25"/>
        <w:jc w:val="both"/>
        <w:rPr>
          <w:bCs/>
          <w:iCs/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t>Management</w:t>
      </w:r>
      <w:r w:rsidRPr="009031A2">
        <w:rPr>
          <w:color w:val="000000"/>
          <w:sz w:val="18"/>
          <w:szCs w:val="18"/>
        </w:rPr>
        <w:t xml:space="preserve"> společnosti </w:t>
      </w:r>
      <w:r>
        <w:rPr>
          <w:color w:val="000000"/>
          <w:sz w:val="18"/>
          <w:szCs w:val="18"/>
        </w:rPr>
        <w:t xml:space="preserve">tedy </w:t>
      </w:r>
      <w:r w:rsidRPr="009031A2">
        <w:rPr>
          <w:color w:val="000000"/>
          <w:sz w:val="18"/>
          <w:szCs w:val="18"/>
        </w:rPr>
        <w:t>v</w:t>
      </w:r>
      <w:r>
        <w:rPr>
          <w:color w:val="000000"/>
          <w:sz w:val="18"/>
          <w:szCs w:val="18"/>
        </w:rPr>
        <w:t xml:space="preserve"> uplynulém období v </w:t>
      </w:r>
      <w:r w:rsidRPr="009031A2">
        <w:rPr>
          <w:color w:val="000000"/>
          <w:sz w:val="18"/>
          <w:szCs w:val="18"/>
        </w:rPr>
        <w:t xml:space="preserve">součinnosti se znaleckým ústavem </w:t>
      </w:r>
      <w:r>
        <w:rPr>
          <w:color w:val="000000"/>
          <w:sz w:val="18"/>
          <w:szCs w:val="18"/>
        </w:rPr>
        <w:t xml:space="preserve">Česká znalecká, a.s., se sídlem Nezvalova 423, Hradec Králové, IČ: 25260138 </w:t>
      </w:r>
      <w:r w:rsidRPr="009031A2">
        <w:rPr>
          <w:color w:val="000000"/>
          <w:sz w:val="18"/>
          <w:szCs w:val="18"/>
        </w:rPr>
        <w:t xml:space="preserve">a v souladu </w:t>
      </w:r>
      <w:r>
        <w:rPr>
          <w:color w:val="000000"/>
          <w:sz w:val="18"/>
          <w:szCs w:val="18"/>
        </w:rPr>
        <w:t>se Zásadami a zákonem č. 151/1997 Sb., o oceňování majetku připravil</w:t>
      </w:r>
      <w:r w:rsidRPr="009031A2">
        <w:rPr>
          <w:color w:val="000000"/>
          <w:sz w:val="18"/>
          <w:szCs w:val="18"/>
        </w:rPr>
        <w:t xml:space="preserve"> ocenění </w:t>
      </w:r>
      <w:r>
        <w:rPr>
          <w:color w:val="000000"/>
          <w:sz w:val="18"/>
          <w:szCs w:val="18"/>
        </w:rPr>
        <w:t xml:space="preserve">několika </w:t>
      </w:r>
      <w:r w:rsidR="00DA5E9C">
        <w:rPr>
          <w:color w:val="000000"/>
          <w:sz w:val="18"/>
          <w:szCs w:val="18"/>
        </w:rPr>
        <w:t xml:space="preserve">dalších </w:t>
      </w:r>
      <w:r>
        <w:rPr>
          <w:color w:val="000000"/>
          <w:sz w:val="18"/>
          <w:szCs w:val="18"/>
        </w:rPr>
        <w:t>nepeněžitých vkladů formou znaleckých posudků.  Jedná se o</w:t>
      </w:r>
      <w:r w:rsidR="00DA5E9C">
        <w:rPr>
          <w:color w:val="000000"/>
          <w:sz w:val="18"/>
          <w:szCs w:val="18"/>
        </w:rPr>
        <w:t>pět o</w:t>
      </w:r>
      <w:r>
        <w:rPr>
          <w:color w:val="000000"/>
          <w:sz w:val="18"/>
          <w:szCs w:val="18"/>
        </w:rPr>
        <w:t xml:space="preserve"> nepeněžitý vklad stávajících akcionářů naší společnosti, a to vklad</w:t>
      </w:r>
      <w:r w:rsidR="00DA5E9C">
        <w:rPr>
          <w:color w:val="000000"/>
          <w:sz w:val="18"/>
          <w:szCs w:val="18"/>
        </w:rPr>
        <w:t xml:space="preserve"> města Sobotka, obce Lískovice a obce Úlibice</w:t>
      </w:r>
      <w:r>
        <w:rPr>
          <w:color w:val="000000"/>
          <w:sz w:val="18"/>
          <w:szCs w:val="18"/>
        </w:rPr>
        <w:t>. Výsledné ocenění hodnoty do společnosti vkládaného majetku, počtu, druhu a formy upisovaných akcií a jejich emisního kurzu je specifikováno níže v návrhu</w:t>
      </w:r>
      <w:r w:rsidR="00F13699">
        <w:rPr>
          <w:color w:val="000000"/>
          <w:sz w:val="18"/>
          <w:szCs w:val="18"/>
        </w:rPr>
        <w:t xml:space="preserve"> usnesení valné hromady k bodu 6</w:t>
      </w:r>
      <w:r>
        <w:rPr>
          <w:color w:val="000000"/>
          <w:sz w:val="18"/>
          <w:szCs w:val="18"/>
        </w:rPr>
        <w:t xml:space="preserve">. </w:t>
      </w:r>
      <w:r w:rsidRPr="0007621E">
        <w:rPr>
          <w:color w:val="000000"/>
          <w:sz w:val="18"/>
          <w:szCs w:val="18"/>
        </w:rPr>
        <w:t xml:space="preserve">V podrobnostech pak odkazujeme na jednotlivé znalecké posudky České znalecká, a.s. pod č.: </w:t>
      </w:r>
      <w:r w:rsidR="00DA5E9C">
        <w:rPr>
          <w:bCs/>
          <w:iCs/>
          <w:sz w:val="18"/>
          <w:szCs w:val="18"/>
        </w:rPr>
        <w:t>5300-00-2018</w:t>
      </w:r>
      <w:r w:rsidRPr="0007621E">
        <w:rPr>
          <w:bCs/>
          <w:iCs/>
          <w:sz w:val="18"/>
          <w:szCs w:val="18"/>
        </w:rPr>
        <w:t xml:space="preserve"> (město </w:t>
      </w:r>
      <w:r w:rsidR="00DA5E9C">
        <w:rPr>
          <w:bCs/>
          <w:iCs/>
          <w:sz w:val="18"/>
          <w:szCs w:val="18"/>
        </w:rPr>
        <w:t>Sobotka</w:t>
      </w:r>
      <w:r w:rsidRPr="00250C52">
        <w:rPr>
          <w:bCs/>
          <w:iCs/>
          <w:sz w:val="18"/>
          <w:szCs w:val="18"/>
        </w:rPr>
        <w:t xml:space="preserve">), </w:t>
      </w:r>
      <w:r w:rsidR="00DA5E9C">
        <w:rPr>
          <w:bCs/>
          <w:iCs/>
          <w:sz w:val="18"/>
          <w:szCs w:val="18"/>
        </w:rPr>
        <w:t xml:space="preserve">5299-12-2018 (obec Lískovice) </w:t>
      </w:r>
      <w:r>
        <w:rPr>
          <w:bCs/>
          <w:iCs/>
          <w:color w:val="000000" w:themeColor="text1"/>
          <w:sz w:val="18"/>
          <w:szCs w:val="18"/>
        </w:rPr>
        <w:t xml:space="preserve">a </w:t>
      </w:r>
      <w:r w:rsidR="00DA5E9C">
        <w:rPr>
          <w:bCs/>
          <w:iCs/>
          <w:color w:val="000000" w:themeColor="text1"/>
          <w:sz w:val="18"/>
          <w:szCs w:val="18"/>
        </w:rPr>
        <w:t>5301</w:t>
      </w:r>
      <w:r w:rsidRPr="00250C52">
        <w:rPr>
          <w:bCs/>
          <w:iCs/>
          <w:color w:val="000000" w:themeColor="text1"/>
          <w:sz w:val="18"/>
          <w:szCs w:val="18"/>
        </w:rPr>
        <w:t>-12-201</w:t>
      </w:r>
      <w:r w:rsidR="00DA5E9C">
        <w:rPr>
          <w:bCs/>
          <w:iCs/>
          <w:color w:val="000000" w:themeColor="text1"/>
          <w:sz w:val="18"/>
          <w:szCs w:val="18"/>
        </w:rPr>
        <w:t>8 (obec Úlibice</w:t>
      </w:r>
      <w:r w:rsidRPr="00250C52">
        <w:rPr>
          <w:bCs/>
          <w:iCs/>
          <w:color w:val="000000" w:themeColor="text1"/>
          <w:sz w:val="18"/>
          <w:szCs w:val="18"/>
        </w:rPr>
        <w:t>).</w:t>
      </w:r>
    </w:p>
    <w:p w:rsidR="008D4C69" w:rsidRPr="0007621E" w:rsidRDefault="008D4C69" w:rsidP="001F07FB">
      <w:pPr>
        <w:ind w:right="-25"/>
        <w:jc w:val="both"/>
        <w:rPr>
          <w:color w:val="000000"/>
          <w:sz w:val="18"/>
          <w:szCs w:val="18"/>
        </w:rPr>
      </w:pPr>
    </w:p>
    <w:p w:rsidR="008D4C69" w:rsidRDefault="008D4C69" w:rsidP="001F07FB">
      <w:pPr>
        <w:ind w:right="-25"/>
        <w:jc w:val="both"/>
        <w:rPr>
          <w:color w:val="000000"/>
          <w:sz w:val="18"/>
          <w:szCs w:val="18"/>
        </w:rPr>
      </w:pPr>
      <w:r w:rsidRPr="0007621E">
        <w:rPr>
          <w:color w:val="000000"/>
          <w:sz w:val="18"/>
          <w:szCs w:val="18"/>
        </w:rPr>
        <w:t xml:space="preserve">O zvyšování základního kapitálu společnosti upisováním nových akcií konkrétními nepeněžitými vklady rozhoduje valná hromada dle ustanovení § 474 a násl. zákona č. 90/2012 Sb. a čl. </w:t>
      </w:r>
      <w:proofErr w:type="gramStart"/>
      <w:r w:rsidRPr="0007621E">
        <w:rPr>
          <w:color w:val="000000"/>
          <w:sz w:val="18"/>
          <w:szCs w:val="18"/>
        </w:rPr>
        <w:t>8  a</w:t>
      </w:r>
      <w:proofErr w:type="gramEnd"/>
      <w:r w:rsidRPr="0007621E">
        <w:rPr>
          <w:color w:val="000000"/>
          <w:sz w:val="18"/>
          <w:szCs w:val="18"/>
        </w:rPr>
        <w:t xml:space="preserve"> čl. 21 odst. 2 písm. i) stanov společnosti.</w:t>
      </w:r>
    </w:p>
    <w:p w:rsidR="008D4C69" w:rsidRDefault="008D4C69" w:rsidP="001F07FB">
      <w:pPr>
        <w:pStyle w:val="Zkladntext0"/>
        <w:tabs>
          <w:tab w:val="left" w:pos="1222"/>
        </w:tabs>
        <w:spacing w:before="0"/>
        <w:ind w:right="-25"/>
        <w:jc w:val="both"/>
        <w:rPr>
          <w:b w:val="0"/>
          <w:sz w:val="18"/>
          <w:szCs w:val="18"/>
        </w:rPr>
      </w:pPr>
    </w:p>
    <w:p w:rsidR="008D4C69" w:rsidRDefault="008D4C69" w:rsidP="001F07FB">
      <w:pPr>
        <w:pStyle w:val="Zkladntext0"/>
        <w:tabs>
          <w:tab w:val="left" w:pos="1222"/>
        </w:tabs>
        <w:spacing w:before="0"/>
        <w:ind w:right="-25"/>
        <w:jc w:val="both"/>
        <w:rPr>
          <w:b w:val="0"/>
          <w:sz w:val="18"/>
          <w:szCs w:val="18"/>
        </w:rPr>
      </w:pPr>
      <w:r w:rsidRPr="0007621E">
        <w:rPr>
          <w:b w:val="0"/>
          <w:sz w:val="18"/>
          <w:szCs w:val="18"/>
        </w:rPr>
        <w:t>Předmětné zvýšení základního kapitálu je v důležitém zájmu společnosti a nepeněžitým vkladem je ve všech případech majetek, jehož hospodářská hodnota je zjistitelná a který může společnost hospodářsky využít k předmětu podnikání.</w:t>
      </w:r>
    </w:p>
    <w:p w:rsidR="008D4C69" w:rsidRPr="005B3E9D" w:rsidRDefault="008D4C69" w:rsidP="001F07FB">
      <w:pPr>
        <w:autoSpaceDE w:val="0"/>
        <w:ind w:right="-25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P</w:t>
      </w:r>
      <w:r w:rsidRPr="005B3E9D">
        <w:rPr>
          <w:bCs/>
          <w:iCs/>
          <w:sz w:val="18"/>
          <w:szCs w:val="18"/>
        </w:rPr>
        <w:t xml:space="preserve">řednostní právo akcionářů společnosti na upisování </w:t>
      </w:r>
      <w:r>
        <w:rPr>
          <w:bCs/>
          <w:iCs/>
          <w:sz w:val="18"/>
          <w:szCs w:val="18"/>
        </w:rPr>
        <w:t xml:space="preserve">předmětných </w:t>
      </w:r>
      <w:r w:rsidRPr="005B3E9D">
        <w:rPr>
          <w:bCs/>
          <w:iCs/>
          <w:sz w:val="18"/>
          <w:szCs w:val="18"/>
        </w:rPr>
        <w:t xml:space="preserve">akcií ke zvýšení základního kapitálu je vyloučeno, protože akcie jsou pro předem určené zájemce </w:t>
      </w:r>
      <w:r w:rsidR="00D104A0">
        <w:rPr>
          <w:bCs/>
          <w:iCs/>
          <w:sz w:val="18"/>
          <w:szCs w:val="18"/>
        </w:rPr>
        <w:t>–</w:t>
      </w:r>
      <w:r w:rsidRPr="005B3E9D">
        <w:rPr>
          <w:bCs/>
          <w:iCs/>
          <w:sz w:val="18"/>
          <w:szCs w:val="18"/>
        </w:rPr>
        <w:t xml:space="preserve"> město</w:t>
      </w:r>
      <w:r w:rsidR="00D104A0">
        <w:rPr>
          <w:bCs/>
          <w:iCs/>
          <w:sz w:val="18"/>
          <w:szCs w:val="18"/>
        </w:rPr>
        <w:t xml:space="preserve"> Sobotka</w:t>
      </w:r>
      <w:r w:rsidRPr="005B3E9D">
        <w:rPr>
          <w:color w:val="000000"/>
          <w:sz w:val="18"/>
          <w:szCs w:val="18"/>
        </w:rPr>
        <w:t xml:space="preserve">, </w:t>
      </w:r>
      <w:r w:rsidR="00D104A0">
        <w:rPr>
          <w:color w:val="000000"/>
          <w:sz w:val="18"/>
          <w:szCs w:val="18"/>
        </w:rPr>
        <w:t>obec Lískovice a obec Úlibice,</w:t>
      </w:r>
      <w:r w:rsidR="00D104A0" w:rsidRPr="005B3E9D">
        <w:rPr>
          <w:color w:val="000000"/>
          <w:sz w:val="18"/>
          <w:szCs w:val="18"/>
        </w:rPr>
        <w:t xml:space="preserve"> </w:t>
      </w:r>
      <w:r w:rsidRPr="005B3E9D">
        <w:rPr>
          <w:color w:val="000000"/>
          <w:sz w:val="18"/>
          <w:szCs w:val="18"/>
        </w:rPr>
        <w:t xml:space="preserve">kteří budou výlučně nově upisované akcie upisovat, jakožto vlastníci </w:t>
      </w:r>
      <w:r w:rsidRPr="005B3E9D">
        <w:rPr>
          <w:bCs/>
          <w:iCs/>
          <w:sz w:val="18"/>
          <w:szCs w:val="18"/>
        </w:rPr>
        <w:t xml:space="preserve">nepeněžitých vkladů, které budou jedinými vklady, jimiž se bude základní kapitál zvyšovat, resp. jimiž budou nově upisované akcie splaceny. S ohledem na tento způsob zvyšování základního kapitálu nepřipadá v souladu s </w:t>
      </w:r>
      <w:proofErr w:type="spellStart"/>
      <w:r w:rsidRPr="005B3E9D">
        <w:rPr>
          <w:bCs/>
          <w:iCs/>
          <w:sz w:val="18"/>
          <w:szCs w:val="18"/>
        </w:rPr>
        <w:t>ust</w:t>
      </w:r>
      <w:proofErr w:type="spellEnd"/>
      <w:r w:rsidRPr="005B3E9D">
        <w:rPr>
          <w:bCs/>
          <w:iCs/>
          <w:sz w:val="18"/>
          <w:szCs w:val="18"/>
        </w:rPr>
        <w:t xml:space="preserve">. § 484 odst. 1 ZOK </w:t>
      </w:r>
      <w:r>
        <w:rPr>
          <w:bCs/>
          <w:iCs/>
          <w:sz w:val="18"/>
          <w:szCs w:val="18"/>
        </w:rPr>
        <w:t xml:space="preserve">v úvahu </w:t>
      </w:r>
      <w:r w:rsidRPr="005B3E9D">
        <w:rPr>
          <w:bCs/>
          <w:iCs/>
          <w:sz w:val="18"/>
          <w:szCs w:val="18"/>
        </w:rPr>
        <w:t>využití přednostního práva akcionářů na upisování akcií a není možné stanovit určení podle § 475 písm. d) ZOK. Akcie ani žádná jejich část tedy nebudou upsány na základě veřejné nabídky podle § 480 až 483 ZOK a jejich upisování se nezúčastní žádný obchodník s cennými papíry,</w:t>
      </w:r>
    </w:p>
    <w:p w:rsidR="008D4C69" w:rsidRDefault="008D4C69" w:rsidP="001F07FB">
      <w:pPr>
        <w:pStyle w:val="Zkladntext0"/>
        <w:tabs>
          <w:tab w:val="left" w:pos="1222"/>
        </w:tabs>
        <w:spacing w:before="0"/>
        <w:ind w:right="-25"/>
        <w:jc w:val="both"/>
        <w:rPr>
          <w:b w:val="0"/>
          <w:color w:val="000000"/>
          <w:sz w:val="18"/>
          <w:szCs w:val="18"/>
        </w:rPr>
      </w:pPr>
      <w:r w:rsidRPr="00321182">
        <w:rPr>
          <w:b w:val="0"/>
          <w:bCs/>
          <w:sz w:val="18"/>
          <w:szCs w:val="18"/>
        </w:rPr>
        <w:t xml:space="preserve">Představenstvo společnosti tedy </w:t>
      </w:r>
      <w:r w:rsidRPr="00321182">
        <w:rPr>
          <w:b w:val="0"/>
          <w:color w:val="000000"/>
          <w:sz w:val="18"/>
          <w:szCs w:val="18"/>
        </w:rPr>
        <w:t xml:space="preserve">valné hromadě předkládá návrh na </w:t>
      </w:r>
      <w:r>
        <w:rPr>
          <w:b w:val="0"/>
          <w:color w:val="000000"/>
          <w:sz w:val="18"/>
          <w:szCs w:val="18"/>
        </w:rPr>
        <w:t xml:space="preserve">schválení </w:t>
      </w:r>
      <w:r w:rsidRPr="00321182">
        <w:rPr>
          <w:b w:val="0"/>
          <w:color w:val="000000"/>
          <w:sz w:val="18"/>
          <w:szCs w:val="18"/>
        </w:rPr>
        <w:t>rozhodnutí o zvýšení</w:t>
      </w:r>
      <w:r w:rsidRPr="00321182">
        <w:rPr>
          <w:b w:val="0"/>
          <w:bCs/>
          <w:iCs/>
          <w:sz w:val="18"/>
          <w:szCs w:val="18"/>
        </w:rPr>
        <w:t xml:space="preserve"> základního kapitálu společnosti ve smyslu </w:t>
      </w:r>
      <w:proofErr w:type="spellStart"/>
      <w:r w:rsidRPr="00321182">
        <w:rPr>
          <w:b w:val="0"/>
          <w:bCs/>
          <w:iCs/>
          <w:sz w:val="18"/>
          <w:szCs w:val="18"/>
        </w:rPr>
        <w:t>ust</w:t>
      </w:r>
      <w:proofErr w:type="spellEnd"/>
      <w:r w:rsidRPr="00321182">
        <w:rPr>
          <w:b w:val="0"/>
          <w:bCs/>
          <w:iCs/>
          <w:sz w:val="18"/>
          <w:szCs w:val="18"/>
        </w:rPr>
        <w:t xml:space="preserve">. § 475 </w:t>
      </w:r>
      <w:r w:rsidRPr="00321182">
        <w:rPr>
          <w:b w:val="0"/>
          <w:color w:val="000000"/>
          <w:sz w:val="18"/>
          <w:szCs w:val="18"/>
        </w:rPr>
        <w:t>zákona č. 90/2012 Sb. (viz návrh usnesení va</w:t>
      </w:r>
      <w:r w:rsidR="0003470E">
        <w:rPr>
          <w:b w:val="0"/>
          <w:color w:val="000000"/>
          <w:sz w:val="18"/>
          <w:szCs w:val="18"/>
        </w:rPr>
        <w:t xml:space="preserve">lné hromady k </w:t>
      </w:r>
      <w:r w:rsidR="00F13699">
        <w:rPr>
          <w:b w:val="0"/>
          <w:color w:val="000000"/>
          <w:sz w:val="18"/>
          <w:szCs w:val="18"/>
        </w:rPr>
        <w:t>bodu 6</w:t>
      </w:r>
      <w:r w:rsidRPr="00460377">
        <w:rPr>
          <w:b w:val="0"/>
          <w:color w:val="000000"/>
          <w:sz w:val="18"/>
          <w:szCs w:val="18"/>
        </w:rPr>
        <w:t>).</w:t>
      </w:r>
    </w:p>
    <w:p w:rsidR="008D4C69" w:rsidRPr="0007621E" w:rsidRDefault="008D4C69" w:rsidP="001F07FB">
      <w:pPr>
        <w:spacing w:before="144"/>
        <w:ind w:right="-2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 návaznosti na kladné rozhodnutí valné hromady společnosti tedy v</w:t>
      </w:r>
      <w:r w:rsidRPr="0007621E">
        <w:rPr>
          <w:color w:val="000000"/>
          <w:sz w:val="18"/>
          <w:szCs w:val="18"/>
        </w:rPr>
        <w:t>l</w:t>
      </w:r>
      <w:r>
        <w:rPr>
          <w:color w:val="000000"/>
          <w:sz w:val="18"/>
          <w:szCs w:val="18"/>
        </w:rPr>
        <w:t xml:space="preserve">astník nepeněžitého vkladu </w:t>
      </w:r>
      <w:r w:rsidRPr="0007621E">
        <w:rPr>
          <w:color w:val="000000"/>
          <w:sz w:val="18"/>
          <w:szCs w:val="18"/>
        </w:rPr>
        <w:t xml:space="preserve">upíše příslušný počet akcií se stanoveným emisním kursem a tento emisní kurs nových akcií splatí vnesením nepeněžitých vkladů (tedy svého vodohospodářského majetku) do základního kapitálu společnosti resp. do </w:t>
      </w:r>
      <w:r>
        <w:rPr>
          <w:color w:val="000000"/>
          <w:sz w:val="18"/>
          <w:szCs w:val="18"/>
        </w:rPr>
        <w:t xml:space="preserve">jejího majetku. </w:t>
      </w:r>
      <w:r w:rsidRPr="0007621E">
        <w:rPr>
          <w:color w:val="000000"/>
          <w:sz w:val="18"/>
          <w:szCs w:val="18"/>
        </w:rPr>
        <w:t>Za vnesený nepeněžitý vklad obdrží příslušný počet akcií společnosti</w:t>
      </w:r>
      <w:r>
        <w:rPr>
          <w:color w:val="000000"/>
          <w:sz w:val="18"/>
          <w:szCs w:val="18"/>
        </w:rPr>
        <w:t>.</w:t>
      </w:r>
      <w:r w:rsidRPr="0007621E">
        <w:rPr>
          <w:color w:val="000000"/>
          <w:sz w:val="18"/>
          <w:szCs w:val="18"/>
        </w:rPr>
        <w:t xml:space="preserve"> Ty</w:t>
      </w:r>
      <w:r>
        <w:rPr>
          <w:color w:val="000000"/>
          <w:sz w:val="18"/>
          <w:szCs w:val="18"/>
        </w:rPr>
        <w:t>to</w:t>
      </w:r>
      <w:r w:rsidRPr="0007621E">
        <w:rPr>
          <w:color w:val="000000"/>
          <w:sz w:val="18"/>
          <w:szCs w:val="18"/>
        </w:rPr>
        <w:t xml:space="preserve"> nově vydané akcie budou totožné jako stávající akcie, tj. </w:t>
      </w:r>
      <w:r w:rsidRPr="00855C7A">
        <w:rPr>
          <w:color w:val="000000"/>
          <w:sz w:val="18"/>
          <w:szCs w:val="18"/>
        </w:rPr>
        <w:t>půjde o kmenové akcie společnosti znějící na jméno, o jmenovité hodnotě 1.000 Kč, v listinné podobě, s omezenou převoditelností ve smyslu čl. 14 stanov společnosti.</w:t>
      </w:r>
    </w:p>
    <w:p w:rsidR="00955886" w:rsidRPr="007C0AB7" w:rsidRDefault="00955886" w:rsidP="00B01DBB">
      <w:pPr>
        <w:pStyle w:val="Zkladntext0"/>
        <w:tabs>
          <w:tab w:val="left" w:pos="1222"/>
        </w:tabs>
        <w:spacing w:before="0"/>
        <w:jc w:val="both"/>
        <w:rPr>
          <w:b w:val="0"/>
          <w:sz w:val="18"/>
          <w:szCs w:val="18"/>
        </w:rPr>
      </w:pPr>
    </w:p>
    <w:p w:rsidR="00846948" w:rsidRPr="004E0FD3" w:rsidRDefault="00846948" w:rsidP="00AD5B97">
      <w:pPr>
        <w:pStyle w:val="Zkladntextodsazen"/>
        <w:spacing w:before="60"/>
        <w:ind w:left="0"/>
        <w:rPr>
          <w:b/>
          <w:sz w:val="20"/>
        </w:rPr>
      </w:pPr>
      <w:r w:rsidRPr="004E0FD3">
        <w:rPr>
          <w:b/>
          <w:sz w:val="20"/>
        </w:rPr>
        <w:t xml:space="preserve">Návrh usnesení valné hromady                                                                           </w:t>
      </w:r>
    </w:p>
    <w:p w:rsidR="00846948" w:rsidRPr="007C0AB7" w:rsidRDefault="00846948" w:rsidP="00F555AA">
      <w:pPr>
        <w:spacing w:beforeLines="60" w:before="144"/>
        <w:rPr>
          <w:b/>
          <w:i/>
          <w:sz w:val="18"/>
          <w:szCs w:val="18"/>
        </w:rPr>
      </w:pPr>
      <w:r w:rsidRPr="007C0AB7">
        <w:rPr>
          <w:b/>
          <w:i/>
          <w:sz w:val="18"/>
          <w:szCs w:val="18"/>
        </w:rPr>
        <w:t xml:space="preserve">Návrh usnesení valné hromady k bodu č. 1 </w:t>
      </w:r>
    </w:p>
    <w:p w:rsidR="002F595D" w:rsidRPr="007C0AB7" w:rsidRDefault="00846948" w:rsidP="00F555AA">
      <w:pPr>
        <w:spacing w:beforeLines="60" w:before="144"/>
        <w:jc w:val="both"/>
        <w:rPr>
          <w:sz w:val="18"/>
          <w:szCs w:val="18"/>
        </w:rPr>
      </w:pPr>
      <w:r w:rsidRPr="007C0AB7">
        <w:rPr>
          <w:sz w:val="18"/>
          <w:szCs w:val="18"/>
        </w:rPr>
        <w:t xml:space="preserve">Valná hromada Vodohospodářské a </w:t>
      </w:r>
      <w:r w:rsidR="00D16A55">
        <w:rPr>
          <w:sz w:val="18"/>
          <w:szCs w:val="18"/>
        </w:rPr>
        <w:t>obchodní společnosti, a.s. schvaluje volbu předsedy</w:t>
      </w:r>
      <w:r w:rsidR="003D11E0">
        <w:rPr>
          <w:sz w:val="18"/>
          <w:szCs w:val="18"/>
        </w:rPr>
        <w:t xml:space="preserve"> valné hromady, zapisovatele</w:t>
      </w:r>
      <w:r w:rsidR="007C2B8B" w:rsidRPr="007C0AB7">
        <w:rPr>
          <w:sz w:val="18"/>
          <w:szCs w:val="18"/>
        </w:rPr>
        <w:t>,</w:t>
      </w:r>
      <w:r w:rsidR="003D11E0">
        <w:rPr>
          <w:sz w:val="18"/>
          <w:szCs w:val="18"/>
        </w:rPr>
        <w:t xml:space="preserve"> ověřovatele</w:t>
      </w:r>
      <w:r w:rsidRPr="007C0AB7">
        <w:rPr>
          <w:sz w:val="18"/>
          <w:szCs w:val="18"/>
        </w:rPr>
        <w:t xml:space="preserve"> zápisu</w:t>
      </w:r>
      <w:r w:rsidR="002F595D">
        <w:rPr>
          <w:sz w:val="18"/>
          <w:szCs w:val="18"/>
        </w:rPr>
        <w:t>,</w:t>
      </w:r>
      <w:r w:rsidR="005F49EF">
        <w:rPr>
          <w:sz w:val="18"/>
          <w:szCs w:val="18"/>
        </w:rPr>
        <w:t xml:space="preserve"> </w:t>
      </w:r>
      <w:r w:rsidR="003D11E0">
        <w:rPr>
          <w:sz w:val="18"/>
          <w:szCs w:val="18"/>
        </w:rPr>
        <w:t>osoby pověřené</w:t>
      </w:r>
      <w:r w:rsidRPr="007C0AB7">
        <w:rPr>
          <w:sz w:val="18"/>
          <w:szCs w:val="18"/>
        </w:rPr>
        <w:t xml:space="preserve"> sčítáním hlasů (skrutátory)</w:t>
      </w:r>
      <w:r w:rsidR="00DB41C4">
        <w:rPr>
          <w:sz w:val="18"/>
          <w:szCs w:val="18"/>
        </w:rPr>
        <w:t xml:space="preserve"> </w:t>
      </w:r>
    </w:p>
    <w:p w:rsidR="00846948" w:rsidRPr="007C0AB7" w:rsidRDefault="00846948" w:rsidP="00F555AA">
      <w:pPr>
        <w:spacing w:beforeLines="60" w:before="144"/>
        <w:rPr>
          <w:b/>
          <w:i/>
          <w:sz w:val="18"/>
          <w:szCs w:val="18"/>
        </w:rPr>
      </w:pPr>
      <w:r w:rsidRPr="007C0AB7">
        <w:rPr>
          <w:b/>
          <w:i/>
          <w:sz w:val="18"/>
          <w:szCs w:val="18"/>
        </w:rPr>
        <w:t>Návrh usnesení valné hromady k bodu č. 2</w:t>
      </w:r>
    </w:p>
    <w:p w:rsidR="00DE3BBF" w:rsidRPr="007C0AB7" w:rsidRDefault="00DE3BBF" w:rsidP="00F555AA">
      <w:pPr>
        <w:spacing w:beforeLines="60" w:before="144"/>
        <w:jc w:val="both"/>
        <w:rPr>
          <w:sz w:val="18"/>
          <w:szCs w:val="18"/>
        </w:rPr>
      </w:pPr>
      <w:r w:rsidRPr="007C0AB7">
        <w:rPr>
          <w:sz w:val="18"/>
          <w:szCs w:val="18"/>
        </w:rPr>
        <w:t>Valná hromada Vodohospodářské a obchodní společnosti, a.s. schvaluje zprávu představenstva o podnikatelské činnosti a stavu majetku společnosti</w:t>
      </w:r>
      <w:r w:rsidR="008D4C69">
        <w:rPr>
          <w:sz w:val="18"/>
          <w:szCs w:val="18"/>
        </w:rPr>
        <w:t xml:space="preserve"> za rok 2017</w:t>
      </w:r>
    </w:p>
    <w:p w:rsidR="00DE3BBF" w:rsidRPr="007C0AB7" w:rsidRDefault="00846948" w:rsidP="00F555AA">
      <w:pPr>
        <w:spacing w:beforeLines="60" w:before="144"/>
        <w:jc w:val="both"/>
        <w:rPr>
          <w:b/>
          <w:i/>
          <w:sz w:val="18"/>
          <w:szCs w:val="18"/>
        </w:rPr>
      </w:pPr>
      <w:r w:rsidRPr="007C0AB7">
        <w:rPr>
          <w:b/>
          <w:i/>
          <w:sz w:val="18"/>
          <w:szCs w:val="18"/>
        </w:rPr>
        <w:t>Návrh usnesení valné hromady k bodu č. 3</w:t>
      </w:r>
    </w:p>
    <w:p w:rsidR="00DE3BBF" w:rsidRPr="007C0AB7" w:rsidRDefault="00DE3BBF" w:rsidP="00F555AA">
      <w:pPr>
        <w:spacing w:beforeLines="60" w:before="144"/>
        <w:jc w:val="both"/>
        <w:rPr>
          <w:sz w:val="18"/>
          <w:szCs w:val="18"/>
        </w:rPr>
      </w:pPr>
      <w:r w:rsidRPr="007C0AB7">
        <w:rPr>
          <w:sz w:val="18"/>
          <w:szCs w:val="18"/>
        </w:rPr>
        <w:t>Valná hromada Vodohospodářské a obchodní společnosti, a.s. schvaluje účetní závěrku Vodohospodářské a obchodní společnosti,</w:t>
      </w:r>
      <w:r w:rsidR="0076231D" w:rsidRPr="007C0AB7">
        <w:rPr>
          <w:sz w:val="18"/>
          <w:szCs w:val="18"/>
        </w:rPr>
        <w:t> </w:t>
      </w:r>
      <w:r w:rsidR="008D4C69">
        <w:rPr>
          <w:sz w:val="18"/>
          <w:szCs w:val="18"/>
        </w:rPr>
        <w:t xml:space="preserve"> a.s. za rok 2017</w:t>
      </w:r>
    </w:p>
    <w:p w:rsidR="00DE3BBF" w:rsidRPr="007C0AB7" w:rsidRDefault="00846948" w:rsidP="00F555AA">
      <w:pPr>
        <w:spacing w:beforeLines="60" w:before="144"/>
        <w:jc w:val="both"/>
        <w:rPr>
          <w:b/>
          <w:i/>
          <w:sz w:val="18"/>
          <w:szCs w:val="18"/>
        </w:rPr>
      </w:pPr>
      <w:r w:rsidRPr="007C0AB7">
        <w:rPr>
          <w:b/>
          <w:i/>
          <w:sz w:val="18"/>
          <w:szCs w:val="18"/>
        </w:rPr>
        <w:t xml:space="preserve">Návrh usnesení valné hromady k bodu č. 4 </w:t>
      </w:r>
    </w:p>
    <w:p w:rsidR="00DE3BBF" w:rsidRPr="007C0AB7" w:rsidRDefault="00BA008E" w:rsidP="00F555AA">
      <w:pPr>
        <w:spacing w:beforeLines="60" w:before="144"/>
        <w:jc w:val="both"/>
        <w:rPr>
          <w:sz w:val="18"/>
          <w:szCs w:val="18"/>
        </w:rPr>
      </w:pPr>
      <w:r w:rsidRPr="007C0AB7">
        <w:rPr>
          <w:sz w:val="18"/>
          <w:szCs w:val="18"/>
        </w:rPr>
        <w:t>Vodohospodářská a obchodní společn</w:t>
      </w:r>
      <w:r w:rsidR="008D4C69">
        <w:rPr>
          <w:sz w:val="18"/>
          <w:szCs w:val="18"/>
        </w:rPr>
        <w:t>osti, a.s. vytvořila v roce 2017</w:t>
      </w:r>
      <w:r w:rsidRPr="007C0AB7">
        <w:rPr>
          <w:sz w:val="18"/>
          <w:szCs w:val="18"/>
        </w:rPr>
        <w:t xml:space="preserve"> z</w:t>
      </w:r>
      <w:r w:rsidR="00EF7732">
        <w:rPr>
          <w:sz w:val="18"/>
          <w:szCs w:val="18"/>
        </w:rPr>
        <w:t xml:space="preserve">isk po zdanění ve </w:t>
      </w:r>
      <w:r w:rsidR="00EF7732" w:rsidRPr="00460377">
        <w:rPr>
          <w:sz w:val="18"/>
          <w:szCs w:val="18"/>
        </w:rPr>
        <w:t>výši</w:t>
      </w:r>
      <w:r w:rsidR="00F142FA" w:rsidRPr="00460377">
        <w:rPr>
          <w:sz w:val="18"/>
          <w:szCs w:val="18"/>
        </w:rPr>
        <w:t xml:space="preserve"> 12 881 516,-</w:t>
      </w:r>
      <w:r w:rsidR="00EF7732" w:rsidRPr="00460377">
        <w:rPr>
          <w:sz w:val="18"/>
          <w:szCs w:val="18"/>
        </w:rPr>
        <w:t xml:space="preserve"> </w:t>
      </w:r>
      <w:r w:rsidRPr="00460377">
        <w:rPr>
          <w:sz w:val="18"/>
          <w:szCs w:val="18"/>
        </w:rPr>
        <w:t xml:space="preserve"> Kč</w:t>
      </w:r>
      <w:r w:rsidRPr="007C0AB7">
        <w:rPr>
          <w:sz w:val="18"/>
          <w:szCs w:val="18"/>
        </w:rPr>
        <w:t xml:space="preserve">. </w:t>
      </w:r>
      <w:r w:rsidR="00DE3BBF" w:rsidRPr="007C0AB7">
        <w:rPr>
          <w:sz w:val="18"/>
          <w:szCs w:val="18"/>
        </w:rPr>
        <w:t xml:space="preserve">Valná hromada Vodohospodářské a obchodní společnosti, a.s. schvaluje </w:t>
      </w:r>
      <w:r w:rsidRPr="007C0AB7">
        <w:rPr>
          <w:sz w:val="18"/>
          <w:szCs w:val="18"/>
        </w:rPr>
        <w:t xml:space="preserve">následující rozdělení zisku: </w:t>
      </w:r>
    </w:p>
    <w:p w:rsidR="00BA008E" w:rsidRPr="00460377" w:rsidRDefault="00BA008E" w:rsidP="00F555AA">
      <w:pPr>
        <w:pStyle w:val="Odstavecseseznamem"/>
        <w:numPr>
          <w:ilvl w:val="0"/>
          <w:numId w:val="9"/>
        </w:numPr>
        <w:spacing w:beforeLines="60" w:before="144"/>
        <w:jc w:val="both"/>
        <w:rPr>
          <w:sz w:val="18"/>
          <w:szCs w:val="18"/>
        </w:rPr>
      </w:pPr>
      <w:r w:rsidRPr="00460377">
        <w:rPr>
          <w:sz w:val="18"/>
          <w:szCs w:val="18"/>
        </w:rPr>
        <w:t xml:space="preserve">do rezervního fondu </w:t>
      </w:r>
      <w:r w:rsidR="00F142FA" w:rsidRPr="00460377">
        <w:rPr>
          <w:sz w:val="18"/>
          <w:szCs w:val="18"/>
        </w:rPr>
        <w:t>644 076</w:t>
      </w:r>
      <w:r w:rsidR="00934E04" w:rsidRPr="00460377">
        <w:rPr>
          <w:sz w:val="18"/>
          <w:szCs w:val="18"/>
        </w:rPr>
        <w:t>,-</w:t>
      </w:r>
      <w:r w:rsidR="004C490E">
        <w:rPr>
          <w:sz w:val="18"/>
          <w:szCs w:val="18"/>
        </w:rPr>
        <w:t xml:space="preserve"> </w:t>
      </w:r>
      <w:r w:rsidRPr="00460377">
        <w:rPr>
          <w:sz w:val="18"/>
          <w:szCs w:val="18"/>
        </w:rPr>
        <w:t>Kč</w:t>
      </w:r>
    </w:p>
    <w:p w:rsidR="00D104A0" w:rsidRPr="00460377" w:rsidRDefault="00BA008E" w:rsidP="00463997">
      <w:pPr>
        <w:pStyle w:val="Odstavecseseznamem"/>
        <w:numPr>
          <w:ilvl w:val="0"/>
          <w:numId w:val="9"/>
        </w:numPr>
        <w:spacing w:beforeLines="60" w:before="144"/>
        <w:jc w:val="both"/>
        <w:rPr>
          <w:sz w:val="18"/>
          <w:szCs w:val="18"/>
        </w:rPr>
      </w:pPr>
      <w:r w:rsidRPr="00460377">
        <w:rPr>
          <w:sz w:val="18"/>
          <w:szCs w:val="18"/>
        </w:rPr>
        <w:t xml:space="preserve">na účet nerozděleného zisku </w:t>
      </w:r>
      <w:r w:rsidR="00F142FA" w:rsidRPr="00460377">
        <w:rPr>
          <w:sz w:val="18"/>
          <w:szCs w:val="18"/>
        </w:rPr>
        <w:t>12 237 440</w:t>
      </w:r>
      <w:r w:rsidR="00934E04" w:rsidRPr="00460377">
        <w:rPr>
          <w:sz w:val="18"/>
          <w:szCs w:val="18"/>
        </w:rPr>
        <w:t xml:space="preserve">,- </w:t>
      </w:r>
      <w:r w:rsidRPr="00460377">
        <w:rPr>
          <w:sz w:val="18"/>
          <w:szCs w:val="18"/>
        </w:rPr>
        <w:t xml:space="preserve"> Kč</w:t>
      </w:r>
    </w:p>
    <w:p w:rsidR="00463997" w:rsidRDefault="00463997" w:rsidP="00463997">
      <w:pPr>
        <w:spacing w:beforeLines="60" w:before="144"/>
        <w:jc w:val="both"/>
        <w:rPr>
          <w:b/>
          <w:i/>
          <w:sz w:val="18"/>
          <w:szCs w:val="18"/>
        </w:rPr>
      </w:pPr>
      <w:r w:rsidRPr="007C0AB7">
        <w:rPr>
          <w:b/>
          <w:i/>
          <w:sz w:val="18"/>
          <w:szCs w:val="18"/>
        </w:rPr>
        <w:lastRenderedPageBreak/>
        <w:t>Návrh usnesení</w:t>
      </w:r>
      <w:r>
        <w:rPr>
          <w:b/>
          <w:i/>
          <w:sz w:val="18"/>
          <w:szCs w:val="18"/>
        </w:rPr>
        <w:t xml:space="preserve"> valné hromady k bodu č. 5</w:t>
      </w:r>
      <w:r w:rsidRPr="007C0AB7">
        <w:rPr>
          <w:b/>
          <w:i/>
          <w:sz w:val="18"/>
          <w:szCs w:val="18"/>
        </w:rPr>
        <w:t xml:space="preserve"> </w:t>
      </w:r>
    </w:p>
    <w:p w:rsidR="00463997" w:rsidRPr="002A332A" w:rsidRDefault="007B4B26" w:rsidP="002A332A">
      <w:pPr>
        <w:pStyle w:val="Zkladntext0"/>
        <w:tabs>
          <w:tab w:val="left" w:pos="1222"/>
        </w:tabs>
        <w:spacing w:before="0"/>
        <w:jc w:val="both"/>
        <w:rPr>
          <w:b w:val="0"/>
          <w:sz w:val="18"/>
          <w:szCs w:val="18"/>
        </w:rPr>
      </w:pPr>
      <w:r w:rsidRPr="007B4B26">
        <w:rPr>
          <w:b w:val="0"/>
          <w:sz w:val="18"/>
          <w:szCs w:val="18"/>
        </w:rPr>
        <w:t>Valná hromada Vodohospodářské a obchodní společnosti, a.s. určuje, resp. schvaluje</w:t>
      </w:r>
      <w:r w:rsidR="00D104A0">
        <w:rPr>
          <w:b w:val="0"/>
          <w:sz w:val="18"/>
          <w:szCs w:val="18"/>
        </w:rPr>
        <w:t xml:space="preserve"> auditorem k provedení</w:t>
      </w:r>
      <w:r w:rsidRPr="007B4B26">
        <w:rPr>
          <w:b w:val="0"/>
          <w:sz w:val="18"/>
          <w:szCs w:val="18"/>
        </w:rPr>
        <w:t xml:space="preserve"> povinného auditu, včetně ověření účetní závěrky Vodohospodářské a obchodní společnosti, a.s</w:t>
      </w:r>
      <w:r w:rsidR="008F695C">
        <w:rPr>
          <w:b w:val="0"/>
          <w:sz w:val="18"/>
          <w:szCs w:val="18"/>
        </w:rPr>
        <w:t>. pro účetní období kalendářního</w:t>
      </w:r>
      <w:r w:rsidRPr="007B4B26">
        <w:rPr>
          <w:b w:val="0"/>
          <w:sz w:val="18"/>
          <w:szCs w:val="18"/>
        </w:rPr>
        <w:t xml:space="preserve"> rok</w:t>
      </w:r>
      <w:r w:rsidR="008F695C">
        <w:rPr>
          <w:b w:val="0"/>
          <w:sz w:val="18"/>
          <w:szCs w:val="18"/>
        </w:rPr>
        <w:t>u</w:t>
      </w:r>
      <w:r w:rsidRPr="007B4B26">
        <w:rPr>
          <w:b w:val="0"/>
          <w:sz w:val="18"/>
          <w:szCs w:val="18"/>
        </w:rPr>
        <w:t xml:space="preserve"> 2018</w:t>
      </w:r>
      <w:r w:rsidR="008F695C">
        <w:rPr>
          <w:b w:val="0"/>
          <w:sz w:val="18"/>
          <w:szCs w:val="18"/>
        </w:rPr>
        <w:t xml:space="preserve"> </w:t>
      </w:r>
      <w:r w:rsidRPr="007B4B26">
        <w:rPr>
          <w:b w:val="0"/>
          <w:sz w:val="18"/>
          <w:szCs w:val="18"/>
        </w:rPr>
        <w:t xml:space="preserve">auditorskou společnost </w:t>
      </w:r>
      <w:r w:rsidR="00F13699" w:rsidRPr="00E962ED">
        <w:rPr>
          <w:b w:val="0"/>
          <w:sz w:val="18"/>
          <w:szCs w:val="18"/>
        </w:rPr>
        <w:t>ÚČTY spol. s r.o., se sídlem Patrného 193, Pražské Předměstí, 551 01 Jaroměř, IČ: 25263391, číslo oprávnění Komory auditorů České republiky č. 567</w:t>
      </w:r>
      <w:r w:rsidR="00F13699">
        <w:rPr>
          <w:b w:val="0"/>
          <w:sz w:val="18"/>
          <w:szCs w:val="18"/>
        </w:rPr>
        <w:t>.</w:t>
      </w:r>
    </w:p>
    <w:p w:rsidR="000A2B41" w:rsidRDefault="00846948" w:rsidP="00292A6C">
      <w:pPr>
        <w:spacing w:beforeLines="60" w:before="144"/>
        <w:jc w:val="both"/>
        <w:rPr>
          <w:b/>
          <w:i/>
          <w:sz w:val="18"/>
          <w:szCs w:val="18"/>
        </w:rPr>
      </w:pPr>
      <w:r w:rsidRPr="007C0AB7">
        <w:rPr>
          <w:b/>
          <w:i/>
          <w:sz w:val="18"/>
          <w:szCs w:val="18"/>
        </w:rPr>
        <w:t>Návrh usnesení</w:t>
      </w:r>
      <w:r w:rsidR="0003470E">
        <w:rPr>
          <w:b/>
          <w:i/>
          <w:sz w:val="18"/>
          <w:szCs w:val="18"/>
        </w:rPr>
        <w:t xml:space="preserve"> valné hromady k </w:t>
      </w:r>
      <w:r w:rsidR="00A7667A">
        <w:rPr>
          <w:b/>
          <w:i/>
          <w:sz w:val="18"/>
          <w:szCs w:val="18"/>
        </w:rPr>
        <w:t>bodu č. 6</w:t>
      </w:r>
    </w:p>
    <w:p w:rsidR="009B6983" w:rsidRDefault="009B6983" w:rsidP="007C0AB7">
      <w:pPr>
        <w:pStyle w:val="Zkladntext0"/>
        <w:shd w:val="clear" w:color="auto" w:fill="FFFFFF" w:themeFill="background1"/>
        <w:tabs>
          <w:tab w:val="left" w:pos="1232"/>
        </w:tabs>
        <w:spacing w:before="0"/>
        <w:jc w:val="both"/>
        <w:rPr>
          <w:b w:val="0"/>
          <w:sz w:val="18"/>
          <w:szCs w:val="18"/>
        </w:rPr>
      </w:pP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r w:rsidRPr="001935E8">
        <w:rPr>
          <w:b/>
          <w:bCs/>
          <w:i/>
          <w:iCs/>
          <w:sz w:val="18"/>
          <w:szCs w:val="18"/>
          <w:u w:val="single"/>
        </w:rPr>
        <w:t>Valná hromada společnosti Vodohospodářské a obchodní společnosti, a.s.</w:t>
      </w:r>
      <w:r>
        <w:rPr>
          <w:b/>
          <w:bCs/>
          <w:i/>
          <w:iCs/>
          <w:sz w:val="18"/>
          <w:szCs w:val="18"/>
          <w:u w:val="single"/>
        </w:rPr>
        <w:t xml:space="preserve"> rozhodla o zvýšení základního kapitálu takto</w:t>
      </w:r>
      <w:r w:rsidRPr="001935E8">
        <w:rPr>
          <w:b/>
          <w:bCs/>
          <w:i/>
          <w:iCs/>
          <w:sz w:val="18"/>
          <w:szCs w:val="18"/>
          <w:u w:val="single"/>
        </w:rPr>
        <w:t>:</w:t>
      </w:r>
      <w:r w:rsidRPr="00B37012">
        <w:rPr>
          <w:b/>
          <w:bCs/>
          <w:i/>
          <w:iCs/>
          <w:sz w:val="18"/>
          <w:szCs w:val="18"/>
        </w:rPr>
        <w:t xml:space="preserve"> </w:t>
      </w: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463997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r w:rsidRPr="001935E8">
        <w:rPr>
          <w:b/>
          <w:bCs/>
          <w:i/>
          <w:iCs/>
          <w:sz w:val="18"/>
          <w:szCs w:val="18"/>
        </w:rPr>
        <w:t xml:space="preserve">1) </w:t>
      </w:r>
      <w:r>
        <w:rPr>
          <w:b/>
          <w:bCs/>
          <w:i/>
          <w:iCs/>
          <w:sz w:val="18"/>
          <w:szCs w:val="18"/>
        </w:rPr>
        <w:t>základní kapitál spo</w:t>
      </w:r>
      <w:r w:rsidR="00D104A0">
        <w:rPr>
          <w:b/>
          <w:bCs/>
          <w:i/>
          <w:iCs/>
          <w:sz w:val="18"/>
          <w:szCs w:val="18"/>
        </w:rPr>
        <w:t>lečnosti se zvyšuje o částku 10.096</w:t>
      </w:r>
      <w:r>
        <w:rPr>
          <w:b/>
          <w:bCs/>
          <w:i/>
          <w:iCs/>
          <w:sz w:val="18"/>
          <w:szCs w:val="18"/>
        </w:rPr>
        <w:t>.000,- Kč s tím, že upisování akcií nad částku navrhovaného zvýšení základního kapi</w:t>
      </w:r>
      <w:r w:rsidR="00D104A0">
        <w:rPr>
          <w:b/>
          <w:bCs/>
          <w:i/>
          <w:iCs/>
          <w:sz w:val="18"/>
          <w:szCs w:val="18"/>
        </w:rPr>
        <w:t>tálu se nepřipouští, upsáním 10.096</w:t>
      </w:r>
      <w:r>
        <w:rPr>
          <w:b/>
          <w:bCs/>
          <w:i/>
          <w:iCs/>
          <w:sz w:val="18"/>
          <w:szCs w:val="18"/>
        </w:rPr>
        <w:t xml:space="preserve"> nových kusů kmenových akcií společnosti v listinné podobě, znějící na jméno, s omezenou převoditelností v souladu s čl. 14 stanov, o jmenovité hodnotě jedné akcie 1.000,- Kč a s tím, že se připouští upisování akcií pod uvedenou částku navrhovaného zvýšení základního kapitálu,</w:t>
      </w: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463997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2) </w:t>
      </w:r>
      <w:r w:rsidRPr="00B37012">
        <w:rPr>
          <w:b/>
          <w:bCs/>
          <w:i/>
          <w:iCs/>
          <w:sz w:val="18"/>
          <w:szCs w:val="18"/>
        </w:rPr>
        <w:t xml:space="preserve">přednostní právo akcionářů společnosti na upisování akcií ke zvýšení základního kapitálu je vyloučeno, protože akcie jsou pro předem určené </w:t>
      </w:r>
      <w:proofErr w:type="gramStart"/>
      <w:r w:rsidRPr="00B37012">
        <w:rPr>
          <w:b/>
          <w:bCs/>
          <w:i/>
          <w:iCs/>
          <w:sz w:val="18"/>
          <w:szCs w:val="18"/>
        </w:rPr>
        <w:t>zájemce</w:t>
      </w:r>
      <w:r>
        <w:rPr>
          <w:b/>
          <w:bCs/>
          <w:i/>
          <w:iCs/>
          <w:sz w:val="18"/>
          <w:szCs w:val="18"/>
        </w:rPr>
        <w:t xml:space="preserve"> -</w:t>
      </w:r>
      <w:r w:rsidR="00D104A0" w:rsidRPr="00D104A0">
        <w:rPr>
          <w:bCs/>
          <w:iCs/>
          <w:sz w:val="18"/>
          <w:szCs w:val="18"/>
        </w:rPr>
        <w:t xml:space="preserve"> </w:t>
      </w:r>
      <w:r w:rsidR="00D104A0" w:rsidRPr="00D104A0">
        <w:rPr>
          <w:b/>
          <w:bCs/>
          <w:i/>
          <w:iCs/>
          <w:sz w:val="18"/>
          <w:szCs w:val="18"/>
        </w:rPr>
        <w:t>město</w:t>
      </w:r>
      <w:proofErr w:type="gramEnd"/>
      <w:r w:rsidR="00D104A0" w:rsidRPr="00D104A0">
        <w:rPr>
          <w:b/>
          <w:bCs/>
          <w:i/>
          <w:iCs/>
          <w:sz w:val="18"/>
          <w:szCs w:val="18"/>
        </w:rPr>
        <w:t xml:space="preserve"> Sobotka</w:t>
      </w:r>
      <w:r w:rsidR="00D104A0" w:rsidRPr="00D104A0">
        <w:rPr>
          <w:b/>
          <w:i/>
          <w:color w:val="000000"/>
          <w:sz w:val="18"/>
          <w:szCs w:val="18"/>
        </w:rPr>
        <w:t>, obec Lískovice a obec Úlibice</w:t>
      </w:r>
      <w:r>
        <w:rPr>
          <w:b/>
          <w:i/>
          <w:color w:val="000000"/>
          <w:sz w:val="18"/>
          <w:szCs w:val="18"/>
        </w:rPr>
        <w:t xml:space="preserve">, kteří budou výlučně nově upisované akcie upisovat, jakožto vlastníci </w:t>
      </w:r>
      <w:r>
        <w:rPr>
          <w:b/>
          <w:bCs/>
          <w:i/>
          <w:iCs/>
          <w:sz w:val="18"/>
          <w:szCs w:val="18"/>
        </w:rPr>
        <w:t>nepeněžitých vkladů uvedených</w:t>
      </w:r>
      <w:r w:rsidRPr="00B37012">
        <w:rPr>
          <w:b/>
          <w:bCs/>
          <w:i/>
          <w:iCs/>
          <w:sz w:val="18"/>
          <w:szCs w:val="18"/>
        </w:rPr>
        <w:t xml:space="preserve"> pod bodem </w:t>
      </w:r>
      <w:r w:rsidRPr="00ED22FB">
        <w:rPr>
          <w:b/>
          <w:bCs/>
          <w:i/>
          <w:iCs/>
          <w:sz w:val="18"/>
          <w:szCs w:val="18"/>
        </w:rPr>
        <w:t>5)</w:t>
      </w:r>
      <w:r>
        <w:rPr>
          <w:b/>
          <w:bCs/>
          <w:i/>
          <w:iCs/>
          <w:sz w:val="18"/>
          <w:szCs w:val="18"/>
        </w:rPr>
        <w:t xml:space="preserve"> tohoto rozhodnutí, které budou jedinými vklady, jimiž se bude základní kapitál zvyšovat, resp. jimiž budou nově upisované akcie splaceny. S ohledem na tento způsob zvyšování základního kapitálu nepřipadá v souladu s </w:t>
      </w:r>
      <w:proofErr w:type="spellStart"/>
      <w:r>
        <w:rPr>
          <w:b/>
          <w:bCs/>
          <w:i/>
          <w:iCs/>
          <w:sz w:val="18"/>
          <w:szCs w:val="18"/>
        </w:rPr>
        <w:t>ust</w:t>
      </w:r>
      <w:proofErr w:type="spellEnd"/>
      <w:r>
        <w:rPr>
          <w:b/>
          <w:bCs/>
          <w:i/>
          <w:iCs/>
          <w:sz w:val="18"/>
          <w:szCs w:val="18"/>
        </w:rPr>
        <w:t>. § 484 odst. 1 ZOK v úvahu využití přednostního práva akcionářů na upisování akcií a není možné stanovit určení podle § 475 písm. d) ZOK. Akcie ani žádná jejich část tedy nebudou upsány na základě veřejné nabídky podle § 480 až 483 ZOK a jejich upisování se nezúčastní žádný obchodník s cennými papíry,</w:t>
      </w: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3) </w:t>
      </w:r>
      <w:r w:rsidRPr="00B37012">
        <w:rPr>
          <w:b/>
          <w:bCs/>
          <w:i/>
          <w:iCs/>
          <w:sz w:val="18"/>
          <w:szCs w:val="18"/>
        </w:rPr>
        <w:t xml:space="preserve">akcie budou upsány v </w:t>
      </w:r>
      <w:r w:rsidRPr="00ED22FB">
        <w:rPr>
          <w:b/>
          <w:bCs/>
          <w:i/>
          <w:iCs/>
          <w:sz w:val="18"/>
          <w:szCs w:val="18"/>
        </w:rPr>
        <w:t>sídle společnosti</w:t>
      </w:r>
      <w:r w:rsidRPr="00B37012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na adrese </w:t>
      </w:r>
      <w:r>
        <w:rPr>
          <w:b/>
          <w:i/>
          <w:sz w:val="18"/>
          <w:szCs w:val="18"/>
        </w:rPr>
        <w:t>Jičín</w:t>
      </w:r>
      <w:r w:rsidRPr="0072781F">
        <w:rPr>
          <w:b/>
          <w:i/>
          <w:sz w:val="18"/>
          <w:szCs w:val="18"/>
        </w:rPr>
        <w:t>, Na Tobolce 428</w:t>
      </w:r>
      <w:r>
        <w:rPr>
          <w:b/>
          <w:i/>
          <w:sz w:val="18"/>
          <w:szCs w:val="18"/>
        </w:rPr>
        <w:t xml:space="preserve"> </w:t>
      </w:r>
      <w:r w:rsidRPr="00B37012">
        <w:rPr>
          <w:b/>
          <w:bCs/>
          <w:i/>
          <w:iCs/>
          <w:sz w:val="18"/>
          <w:szCs w:val="18"/>
        </w:rPr>
        <w:t xml:space="preserve">ve lhůtě </w:t>
      </w:r>
      <w:r>
        <w:rPr>
          <w:b/>
          <w:bCs/>
          <w:i/>
          <w:iCs/>
          <w:sz w:val="18"/>
          <w:szCs w:val="18"/>
        </w:rPr>
        <w:t>120</w:t>
      </w:r>
      <w:r w:rsidRPr="00B37012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dnů ode dne zápisu rozhodnutí valné hromady</w:t>
      </w:r>
      <w:r w:rsidRPr="00B37012">
        <w:rPr>
          <w:b/>
          <w:bCs/>
          <w:i/>
          <w:iCs/>
          <w:sz w:val="18"/>
          <w:szCs w:val="18"/>
        </w:rPr>
        <w:t xml:space="preserve"> společnosti o zvýšení základního kapitálu do obchodního rejstříku s tím, že upisovatelům bude oznámen počátek běhu této lhůty písemným oznámením, jehož přílohu bude tvořit kopie výpisu z obchodního rejstříku Vodohospodářské a obchodní společnosti, a.s.</w:t>
      </w:r>
      <w:r>
        <w:rPr>
          <w:b/>
          <w:bCs/>
          <w:i/>
          <w:iCs/>
          <w:sz w:val="18"/>
          <w:szCs w:val="18"/>
        </w:rPr>
        <w:t xml:space="preserve"> obsahujícího zapsané usnesení valné hromady</w:t>
      </w:r>
      <w:r w:rsidRPr="00B37012">
        <w:rPr>
          <w:b/>
          <w:bCs/>
          <w:i/>
          <w:iCs/>
          <w:sz w:val="18"/>
          <w:szCs w:val="18"/>
        </w:rPr>
        <w:t xml:space="preserve"> společnosti o zvýšení základního kapitálu do obchodního rejstříku. Společnost je povinna zaslat určeným upisovatelům návrh smlouvy o upsání akcií (§ 479 ZOK), </w:t>
      </w: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proofErr w:type="gramStart"/>
      <w:r>
        <w:rPr>
          <w:b/>
          <w:bCs/>
          <w:i/>
          <w:iCs/>
          <w:sz w:val="18"/>
          <w:szCs w:val="18"/>
        </w:rPr>
        <w:t>4 )</w:t>
      </w:r>
      <w:proofErr w:type="gramEnd"/>
      <w:r>
        <w:rPr>
          <w:b/>
          <w:bCs/>
          <w:i/>
          <w:iCs/>
          <w:sz w:val="18"/>
          <w:szCs w:val="18"/>
        </w:rPr>
        <w:t xml:space="preserve"> </w:t>
      </w:r>
      <w:r w:rsidRPr="00B37012">
        <w:rPr>
          <w:b/>
          <w:bCs/>
          <w:i/>
          <w:iCs/>
          <w:sz w:val="18"/>
          <w:szCs w:val="18"/>
        </w:rPr>
        <w:t xml:space="preserve">místem pro vnesení (splacení) nepeněžitých vkladů bude sídlo společnosti </w:t>
      </w:r>
      <w:r>
        <w:rPr>
          <w:b/>
          <w:bCs/>
          <w:i/>
          <w:iCs/>
          <w:sz w:val="18"/>
          <w:szCs w:val="18"/>
        </w:rPr>
        <w:t xml:space="preserve">na adrese </w:t>
      </w:r>
      <w:r>
        <w:rPr>
          <w:b/>
          <w:i/>
          <w:sz w:val="18"/>
          <w:szCs w:val="18"/>
        </w:rPr>
        <w:t>Jičín</w:t>
      </w:r>
      <w:r w:rsidRPr="0072781F">
        <w:rPr>
          <w:b/>
          <w:i/>
          <w:sz w:val="18"/>
          <w:szCs w:val="18"/>
        </w:rPr>
        <w:t>, Na Tobolce 428</w:t>
      </w:r>
      <w:r>
        <w:rPr>
          <w:b/>
          <w:i/>
          <w:sz w:val="18"/>
          <w:szCs w:val="18"/>
        </w:rPr>
        <w:t xml:space="preserve"> </w:t>
      </w:r>
      <w:r w:rsidRPr="00B37012">
        <w:rPr>
          <w:b/>
          <w:bCs/>
          <w:i/>
          <w:iCs/>
          <w:sz w:val="18"/>
          <w:szCs w:val="18"/>
        </w:rPr>
        <w:t>a nepeněžité vklady budou vneseny ve lhůtě šedesáti dnů ode dne upsání akcií společnosti,</w:t>
      </w:r>
    </w:p>
    <w:p w:rsidR="00463997" w:rsidRPr="00B37012" w:rsidRDefault="00463997" w:rsidP="00463997">
      <w:pPr>
        <w:autoSpaceDE w:val="0"/>
        <w:jc w:val="both"/>
        <w:rPr>
          <w:sz w:val="18"/>
          <w:szCs w:val="18"/>
        </w:rPr>
      </w:pP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5) </w:t>
      </w:r>
      <w:r w:rsidRPr="00B37012">
        <w:rPr>
          <w:b/>
          <w:bCs/>
          <w:i/>
          <w:iCs/>
          <w:sz w:val="18"/>
          <w:szCs w:val="18"/>
        </w:rPr>
        <w:t xml:space="preserve">zvýšení základního kapitálu </w:t>
      </w:r>
      <w:r>
        <w:rPr>
          <w:b/>
          <w:bCs/>
          <w:i/>
          <w:iCs/>
          <w:sz w:val="18"/>
          <w:szCs w:val="18"/>
        </w:rPr>
        <w:t>se provede t</w:t>
      </w:r>
      <w:r w:rsidRPr="00B37012">
        <w:rPr>
          <w:b/>
          <w:bCs/>
          <w:i/>
          <w:iCs/>
          <w:sz w:val="18"/>
          <w:szCs w:val="18"/>
        </w:rPr>
        <w:t>ěmito nepeněžitými vklady oceněnými znalec</w:t>
      </w:r>
      <w:r>
        <w:rPr>
          <w:b/>
          <w:bCs/>
          <w:i/>
          <w:iCs/>
          <w:sz w:val="18"/>
          <w:szCs w:val="18"/>
        </w:rPr>
        <w:t xml:space="preserve">kým ústavem Česká znalecká, </w:t>
      </w:r>
      <w:proofErr w:type="gramStart"/>
      <w:r>
        <w:rPr>
          <w:b/>
          <w:bCs/>
          <w:i/>
          <w:iCs/>
          <w:sz w:val="18"/>
          <w:szCs w:val="18"/>
        </w:rPr>
        <w:t xml:space="preserve">a.s. </w:t>
      </w:r>
      <w:r w:rsidRPr="00B37012">
        <w:rPr>
          <w:b/>
          <w:bCs/>
          <w:i/>
          <w:iCs/>
          <w:sz w:val="18"/>
          <w:szCs w:val="18"/>
        </w:rPr>
        <w:t>:</w:t>
      </w:r>
      <w:proofErr w:type="gramEnd"/>
      <w:r w:rsidRPr="00B37012">
        <w:rPr>
          <w:b/>
          <w:bCs/>
          <w:i/>
          <w:iCs/>
          <w:sz w:val="18"/>
          <w:szCs w:val="18"/>
        </w:rPr>
        <w:t xml:space="preserve"> </w:t>
      </w: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463997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  <w:r w:rsidRPr="00B37012">
        <w:rPr>
          <w:b/>
          <w:bCs/>
          <w:i/>
          <w:iCs/>
          <w:sz w:val="18"/>
          <w:szCs w:val="18"/>
        </w:rPr>
        <w:t xml:space="preserve">a) </w:t>
      </w:r>
      <w:r w:rsidRPr="00F4718B">
        <w:rPr>
          <w:b/>
          <w:bCs/>
          <w:i/>
          <w:iCs/>
          <w:sz w:val="18"/>
          <w:szCs w:val="18"/>
          <w:u w:val="single"/>
        </w:rPr>
        <w:t>Nepeněžitý vklad města Sobotka</w:t>
      </w:r>
      <w:r w:rsidRPr="00B37012">
        <w:rPr>
          <w:b/>
          <w:bCs/>
          <w:i/>
          <w:iCs/>
          <w:sz w:val="18"/>
          <w:szCs w:val="18"/>
        </w:rPr>
        <w:t xml:space="preserve">:  </w:t>
      </w:r>
      <w:r w:rsidR="00D104A0" w:rsidRPr="00D104A0">
        <w:rPr>
          <w:b/>
          <w:bCs/>
          <w:i/>
          <w:iCs/>
          <w:sz w:val="18"/>
          <w:szCs w:val="18"/>
        </w:rPr>
        <w:t xml:space="preserve">Vodovod (vybraná vodovodní síť) situovaný na území  města </w:t>
      </w:r>
      <w:r w:rsidR="00D104A0" w:rsidRPr="00D104A0">
        <w:rPr>
          <w:b/>
          <w:i/>
          <w:color w:val="000000"/>
          <w:sz w:val="18"/>
          <w:szCs w:val="18"/>
        </w:rPr>
        <w:t>Sobotka, v </w:t>
      </w:r>
      <w:proofErr w:type="spellStart"/>
      <w:r w:rsidR="00D104A0" w:rsidRPr="00D104A0">
        <w:rPr>
          <w:b/>
          <w:i/>
          <w:color w:val="000000"/>
          <w:sz w:val="18"/>
          <w:szCs w:val="18"/>
        </w:rPr>
        <w:t>k.ú</w:t>
      </w:r>
      <w:proofErr w:type="spellEnd"/>
      <w:r w:rsidR="00D104A0" w:rsidRPr="00D104A0">
        <w:rPr>
          <w:b/>
          <w:i/>
          <w:color w:val="000000"/>
          <w:sz w:val="18"/>
          <w:szCs w:val="18"/>
        </w:rPr>
        <w:t>. Staňkova Lhota</w:t>
      </w:r>
      <w:r w:rsidR="00D104A0" w:rsidRPr="00D104A0">
        <w:rPr>
          <w:b/>
          <w:bCs/>
          <w:i/>
          <w:iCs/>
          <w:sz w:val="18"/>
          <w:szCs w:val="18"/>
        </w:rPr>
        <w:t xml:space="preserve"> tak, jak jsou popsány a oceněny částkou 3.955.800,- Kč</w:t>
      </w:r>
      <w:r w:rsidR="00D104A0">
        <w:rPr>
          <w:b/>
          <w:bCs/>
          <w:iCs/>
        </w:rPr>
        <w:t xml:space="preserve"> </w:t>
      </w:r>
      <w:r w:rsidRPr="00B37012">
        <w:rPr>
          <w:b/>
          <w:bCs/>
          <w:i/>
          <w:iCs/>
          <w:sz w:val="18"/>
          <w:szCs w:val="18"/>
        </w:rPr>
        <w:t>ve znaleckém posudku vypracovaném společností Česká znaleck</w:t>
      </w:r>
      <w:r>
        <w:rPr>
          <w:b/>
          <w:bCs/>
          <w:i/>
          <w:iCs/>
          <w:sz w:val="18"/>
          <w:szCs w:val="18"/>
        </w:rPr>
        <w:t xml:space="preserve">á, a.s., číslo posudku </w:t>
      </w:r>
      <w:r w:rsidR="00D104A0" w:rsidRPr="00D104A0">
        <w:rPr>
          <w:b/>
          <w:bCs/>
          <w:i/>
          <w:iCs/>
          <w:color w:val="000000"/>
          <w:sz w:val="18"/>
          <w:szCs w:val="18"/>
        </w:rPr>
        <w:t>5300-00-2018</w:t>
      </w:r>
      <w:r w:rsidR="00D104A0">
        <w:rPr>
          <w:b/>
          <w:bCs/>
          <w:iCs/>
        </w:rPr>
        <w:t xml:space="preserve"> </w:t>
      </w:r>
      <w:r w:rsidRPr="00B37012">
        <w:rPr>
          <w:b/>
          <w:bCs/>
          <w:i/>
          <w:iCs/>
          <w:sz w:val="18"/>
          <w:szCs w:val="18"/>
        </w:rPr>
        <w:t>s tím, že za tento nepeněžitý vklad bude upisovateli – Městu Sobotka, IČ: 00272124, se sídlem Boleslavská 440, 507 43 S</w:t>
      </w:r>
      <w:r>
        <w:rPr>
          <w:b/>
          <w:bCs/>
          <w:i/>
          <w:iCs/>
          <w:sz w:val="18"/>
          <w:szCs w:val="18"/>
        </w:rPr>
        <w:t xml:space="preserve">obotka - vydáno </w:t>
      </w:r>
      <w:r w:rsidR="00D104A0" w:rsidRPr="00D104A0">
        <w:rPr>
          <w:b/>
          <w:bCs/>
          <w:i/>
          <w:iCs/>
          <w:sz w:val="18"/>
          <w:szCs w:val="18"/>
        </w:rPr>
        <w:t>2.280</w:t>
      </w:r>
      <w:r w:rsidR="00D104A0">
        <w:rPr>
          <w:b/>
          <w:bCs/>
          <w:iCs/>
        </w:rPr>
        <w:t xml:space="preserve"> </w:t>
      </w:r>
      <w:r w:rsidRPr="00B37012">
        <w:rPr>
          <w:b/>
          <w:bCs/>
          <w:i/>
          <w:iCs/>
          <w:sz w:val="18"/>
          <w:szCs w:val="18"/>
        </w:rPr>
        <w:t>kusů kmenových akcií společnosti v listinné podobě s omezenou převoditelností v souladu s čl. 14 stanov, znějících na jméno, o jmenovité hodnotě jedné akcie 1.000,- Kč, s emisním kurs</w:t>
      </w:r>
      <w:r>
        <w:rPr>
          <w:b/>
          <w:bCs/>
          <w:i/>
          <w:iCs/>
          <w:sz w:val="18"/>
          <w:szCs w:val="18"/>
        </w:rPr>
        <w:t xml:space="preserve">em </w:t>
      </w:r>
      <w:r w:rsidR="001F07FB" w:rsidRPr="001F07FB">
        <w:rPr>
          <w:b/>
          <w:bCs/>
          <w:i/>
          <w:iCs/>
          <w:sz w:val="18"/>
          <w:szCs w:val="18"/>
        </w:rPr>
        <w:t xml:space="preserve">1.735,- </w:t>
      </w:r>
      <w:r w:rsidRPr="001F07FB">
        <w:rPr>
          <w:b/>
          <w:bCs/>
          <w:i/>
          <w:iCs/>
          <w:sz w:val="18"/>
          <w:szCs w:val="18"/>
        </w:rPr>
        <w:t>Kč</w:t>
      </w:r>
      <w:r>
        <w:rPr>
          <w:b/>
          <w:bCs/>
          <w:i/>
          <w:iCs/>
          <w:sz w:val="18"/>
          <w:szCs w:val="18"/>
        </w:rPr>
        <w:t>,</w:t>
      </w:r>
    </w:p>
    <w:p w:rsidR="00463997" w:rsidRDefault="00463997" w:rsidP="00463997">
      <w:pPr>
        <w:autoSpaceDE w:val="0"/>
        <w:jc w:val="both"/>
        <w:rPr>
          <w:sz w:val="18"/>
          <w:szCs w:val="18"/>
        </w:rPr>
      </w:pPr>
    </w:p>
    <w:p w:rsidR="001F07FB" w:rsidRPr="001F07FB" w:rsidRDefault="00463997" w:rsidP="001F07FB">
      <w:pPr>
        <w:ind w:right="-25"/>
        <w:jc w:val="both"/>
        <w:rPr>
          <w:b/>
          <w:i/>
          <w:sz w:val="18"/>
          <w:szCs w:val="18"/>
        </w:rPr>
      </w:pPr>
      <w:r w:rsidRPr="001F07FB">
        <w:rPr>
          <w:b/>
          <w:bCs/>
          <w:i/>
          <w:iCs/>
          <w:sz w:val="18"/>
          <w:szCs w:val="18"/>
        </w:rPr>
        <w:t xml:space="preserve">b) </w:t>
      </w:r>
      <w:r w:rsidR="001F07FB" w:rsidRPr="001F07FB">
        <w:rPr>
          <w:b/>
          <w:bCs/>
          <w:i/>
          <w:iCs/>
          <w:sz w:val="18"/>
          <w:szCs w:val="18"/>
          <w:u w:val="single"/>
        </w:rPr>
        <w:t>Nepeněžitý vklad obce Lískovice</w:t>
      </w:r>
      <w:r w:rsidR="001F07FB" w:rsidRPr="001F07FB">
        <w:rPr>
          <w:b/>
          <w:bCs/>
          <w:i/>
          <w:iCs/>
          <w:sz w:val="18"/>
          <w:szCs w:val="18"/>
        </w:rPr>
        <w:t xml:space="preserve">:  Vodovod (vybraná vodovodní síť) situovaný na území obce </w:t>
      </w:r>
      <w:r w:rsidR="001F07FB" w:rsidRPr="001F07FB">
        <w:rPr>
          <w:b/>
          <w:bCs/>
          <w:i/>
          <w:color w:val="000000"/>
          <w:sz w:val="18"/>
          <w:szCs w:val="18"/>
        </w:rPr>
        <w:t>Lískovice, v </w:t>
      </w:r>
      <w:proofErr w:type="spellStart"/>
      <w:r w:rsidR="001F07FB" w:rsidRPr="001F07FB">
        <w:rPr>
          <w:b/>
          <w:bCs/>
          <w:i/>
          <w:color w:val="000000"/>
          <w:sz w:val="18"/>
          <w:szCs w:val="18"/>
        </w:rPr>
        <w:t>k.ú</w:t>
      </w:r>
      <w:proofErr w:type="spellEnd"/>
      <w:r w:rsidR="001F07FB" w:rsidRPr="001F07FB">
        <w:rPr>
          <w:b/>
          <w:bCs/>
          <w:i/>
          <w:color w:val="000000"/>
          <w:sz w:val="18"/>
          <w:szCs w:val="18"/>
        </w:rPr>
        <w:t xml:space="preserve">. Lískovice,                              </w:t>
      </w:r>
      <w:proofErr w:type="spellStart"/>
      <w:r w:rsidR="001F07FB" w:rsidRPr="001F07FB">
        <w:rPr>
          <w:b/>
          <w:bCs/>
          <w:i/>
          <w:color w:val="000000"/>
          <w:sz w:val="18"/>
          <w:szCs w:val="18"/>
        </w:rPr>
        <w:t>k.ú</w:t>
      </w:r>
      <w:proofErr w:type="spellEnd"/>
      <w:r w:rsidR="001F07FB" w:rsidRPr="001F07FB">
        <w:rPr>
          <w:b/>
          <w:bCs/>
          <w:i/>
          <w:color w:val="000000"/>
          <w:sz w:val="18"/>
          <w:szCs w:val="18"/>
        </w:rPr>
        <w:t>. Tereziny Dary a dále v </w:t>
      </w:r>
      <w:proofErr w:type="spellStart"/>
      <w:r w:rsidR="001F07FB" w:rsidRPr="001F07FB">
        <w:rPr>
          <w:b/>
          <w:bCs/>
          <w:i/>
          <w:color w:val="000000"/>
          <w:sz w:val="18"/>
          <w:szCs w:val="18"/>
        </w:rPr>
        <w:t>k.ú</w:t>
      </w:r>
      <w:proofErr w:type="spellEnd"/>
      <w:r w:rsidR="001F07FB" w:rsidRPr="001F07FB">
        <w:rPr>
          <w:b/>
          <w:bCs/>
          <w:i/>
          <w:color w:val="000000"/>
          <w:sz w:val="18"/>
          <w:szCs w:val="18"/>
        </w:rPr>
        <w:t>. Chlum u Hořic tak</w:t>
      </w:r>
      <w:r w:rsidR="001F07FB" w:rsidRPr="001F07FB">
        <w:rPr>
          <w:b/>
          <w:bCs/>
          <w:i/>
          <w:iCs/>
          <w:sz w:val="18"/>
          <w:szCs w:val="18"/>
        </w:rPr>
        <w:t xml:space="preserve">, jak jsou popsány a oceněny částkou 7.686.700,- Kč ve znaleckém posudku vypracovaném společností Česká znalecká, a.s., číslo posudku </w:t>
      </w:r>
      <w:r w:rsidR="001F07FB" w:rsidRPr="001F07FB">
        <w:rPr>
          <w:b/>
          <w:bCs/>
          <w:i/>
          <w:iCs/>
          <w:color w:val="000000"/>
          <w:sz w:val="18"/>
          <w:szCs w:val="18"/>
        </w:rPr>
        <w:t>5299-12-2018</w:t>
      </w:r>
      <w:r w:rsidR="001F07FB" w:rsidRPr="001F07FB">
        <w:rPr>
          <w:b/>
          <w:bCs/>
          <w:i/>
          <w:iCs/>
          <w:sz w:val="18"/>
          <w:szCs w:val="18"/>
        </w:rPr>
        <w:t xml:space="preserve"> s tím, že za tento nepeněžitý vklad bude upisovateli – obci Lískovice, IČ: </w:t>
      </w:r>
      <w:r w:rsidR="001F07FB" w:rsidRPr="001F07FB">
        <w:rPr>
          <w:rFonts w:eastAsiaTheme="minorHAnsi"/>
          <w:b/>
          <w:i/>
          <w:sz w:val="18"/>
          <w:szCs w:val="18"/>
        </w:rPr>
        <w:t>00578436</w:t>
      </w:r>
      <w:r w:rsidR="001F07FB" w:rsidRPr="001F07FB">
        <w:rPr>
          <w:b/>
          <w:bCs/>
          <w:i/>
          <w:iCs/>
          <w:sz w:val="18"/>
          <w:szCs w:val="18"/>
        </w:rPr>
        <w:t>, se sídlem</w:t>
      </w:r>
      <w:r w:rsidR="001F07FB" w:rsidRPr="001F07FB">
        <w:rPr>
          <w:b/>
          <w:i/>
          <w:sz w:val="18"/>
          <w:szCs w:val="18"/>
        </w:rPr>
        <w:t xml:space="preserve"> Lískovice 72, 508 01 Lískovice</w:t>
      </w:r>
      <w:r w:rsidR="001F07FB" w:rsidRPr="001F07FB">
        <w:rPr>
          <w:b/>
          <w:bCs/>
          <w:i/>
          <w:iCs/>
          <w:sz w:val="18"/>
          <w:szCs w:val="18"/>
        </w:rPr>
        <w:t xml:space="preserve"> - vydáno 4.432 kusů kmenových akcií společnosti v listinné podobě s omezenou převoditelností v souladu s čl. 14 stanov, znějících na jméno, o jmenovité hodnotě jedné akcie 1.000,- Kč, s emisním kursem 1.734,36 Kč,</w:t>
      </w:r>
    </w:p>
    <w:p w:rsidR="00463997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1F07FB" w:rsidRPr="001F07FB" w:rsidRDefault="00463997" w:rsidP="001F07FB">
      <w:pPr>
        <w:ind w:right="-25"/>
        <w:jc w:val="both"/>
        <w:rPr>
          <w:b/>
          <w:i/>
          <w:sz w:val="18"/>
          <w:szCs w:val="18"/>
        </w:rPr>
      </w:pPr>
      <w:r w:rsidRPr="001F07FB">
        <w:rPr>
          <w:b/>
          <w:bCs/>
          <w:i/>
          <w:iCs/>
          <w:sz w:val="18"/>
          <w:szCs w:val="18"/>
        </w:rPr>
        <w:t xml:space="preserve">c) </w:t>
      </w:r>
      <w:r w:rsidRPr="001F07FB">
        <w:rPr>
          <w:b/>
          <w:bCs/>
          <w:i/>
          <w:iCs/>
          <w:sz w:val="18"/>
          <w:szCs w:val="18"/>
          <w:u w:val="single"/>
        </w:rPr>
        <w:t>Nepeněžitý vklad</w:t>
      </w:r>
      <w:r w:rsidRPr="001F07FB">
        <w:rPr>
          <w:b/>
          <w:bCs/>
          <w:i/>
          <w:iCs/>
          <w:color w:val="000000" w:themeColor="text1"/>
          <w:sz w:val="18"/>
          <w:szCs w:val="18"/>
          <w:u w:val="single"/>
        </w:rPr>
        <w:t xml:space="preserve"> </w:t>
      </w:r>
      <w:r w:rsidR="001F07FB" w:rsidRPr="001F07FB">
        <w:rPr>
          <w:b/>
          <w:bCs/>
          <w:i/>
          <w:iCs/>
          <w:sz w:val="18"/>
          <w:szCs w:val="18"/>
          <w:u w:val="single"/>
        </w:rPr>
        <w:t>obce Úlibice</w:t>
      </w:r>
      <w:r w:rsidR="001F07FB" w:rsidRPr="001F07FB">
        <w:rPr>
          <w:b/>
          <w:bCs/>
          <w:i/>
          <w:iCs/>
          <w:sz w:val="18"/>
          <w:szCs w:val="18"/>
        </w:rPr>
        <w:t>:  Vodovod (vybraná vodovodní síť) situovaný na území obce Úlibice</w:t>
      </w:r>
      <w:r w:rsidR="001F07FB" w:rsidRPr="001F07FB">
        <w:rPr>
          <w:b/>
          <w:i/>
          <w:color w:val="000000"/>
          <w:sz w:val="18"/>
          <w:szCs w:val="18"/>
        </w:rPr>
        <w:t>, v </w:t>
      </w:r>
      <w:proofErr w:type="spellStart"/>
      <w:r w:rsidR="001F07FB" w:rsidRPr="001F07FB">
        <w:rPr>
          <w:b/>
          <w:i/>
          <w:color w:val="000000"/>
          <w:sz w:val="18"/>
          <w:szCs w:val="18"/>
        </w:rPr>
        <w:t>k.ú</w:t>
      </w:r>
      <w:proofErr w:type="spellEnd"/>
      <w:r w:rsidR="001F07FB" w:rsidRPr="001F07FB">
        <w:rPr>
          <w:b/>
          <w:i/>
          <w:color w:val="000000"/>
          <w:sz w:val="18"/>
          <w:szCs w:val="18"/>
        </w:rPr>
        <w:t>. Úlibice</w:t>
      </w:r>
      <w:r w:rsidR="001F07FB" w:rsidRPr="001F07FB">
        <w:rPr>
          <w:b/>
          <w:bCs/>
          <w:i/>
          <w:iCs/>
          <w:sz w:val="18"/>
          <w:szCs w:val="18"/>
        </w:rPr>
        <w:t xml:space="preserve"> tak, jak jsou popsány a oceněny částkou 5.870.000,- Kč ve znaleckém posudku vypracovaném společností Česká znalecká, a.s., číslo posudku </w:t>
      </w:r>
      <w:r w:rsidR="001F07FB" w:rsidRPr="001F07FB">
        <w:rPr>
          <w:b/>
          <w:bCs/>
          <w:i/>
          <w:iCs/>
          <w:color w:val="000000"/>
          <w:sz w:val="18"/>
          <w:szCs w:val="18"/>
        </w:rPr>
        <w:t>5301-12-2018</w:t>
      </w:r>
      <w:r w:rsidR="001F07FB" w:rsidRPr="001F07FB">
        <w:rPr>
          <w:b/>
          <w:bCs/>
          <w:i/>
          <w:iCs/>
          <w:sz w:val="18"/>
          <w:szCs w:val="18"/>
        </w:rPr>
        <w:t xml:space="preserve"> s tím, že za tento nepeněžitý vklad bude upisovateli – obci Úlibice, IČ:</w:t>
      </w:r>
      <w:r w:rsidR="001F07FB" w:rsidRPr="001F07FB">
        <w:rPr>
          <w:rFonts w:eastAsiaTheme="minorHAnsi"/>
          <w:b/>
          <w:i/>
          <w:sz w:val="18"/>
          <w:szCs w:val="18"/>
        </w:rPr>
        <w:t xml:space="preserve"> 00578631</w:t>
      </w:r>
      <w:r w:rsidR="001F07FB" w:rsidRPr="001F07FB">
        <w:rPr>
          <w:b/>
          <w:bCs/>
          <w:i/>
          <w:iCs/>
          <w:sz w:val="18"/>
          <w:szCs w:val="18"/>
        </w:rPr>
        <w:t>, se sídlem</w:t>
      </w:r>
      <w:r w:rsidR="001F07FB" w:rsidRPr="001F07FB">
        <w:rPr>
          <w:b/>
          <w:i/>
          <w:sz w:val="18"/>
          <w:szCs w:val="18"/>
        </w:rPr>
        <w:t xml:space="preserve"> Úlibice 53, 507 07 Úlibice</w:t>
      </w:r>
      <w:r w:rsidR="001F07FB">
        <w:rPr>
          <w:rFonts w:eastAsiaTheme="minorHAnsi"/>
          <w:b/>
          <w:i/>
          <w:sz w:val="18"/>
          <w:szCs w:val="18"/>
        </w:rPr>
        <w:t xml:space="preserve"> </w:t>
      </w:r>
      <w:r w:rsidR="001F07FB" w:rsidRPr="001F07FB">
        <w:rPr>
          <w:b/>
          <w:bCs/>
          <w:i/>
          <w:iCs/>
          <w:sz w:val="18"/>
          <w:szCs w:val="18"/>
        </w:rPr>
        <w:t>- vydáno 3.384 kusů kmenových akcií společnosti v listinné podobě s omezenou převoditelností v souladu s čl. 14 stanov, znějících na jméno, o jmenovité hodnotě jedné akcie 1.000,- Kč, s emisním kursem 1.734,63 Kč,</w:t>
      </w:r>
    </w:p>
    <w:p w:rsidR="00463997" w:rsidRPr="001F07FB" w:rsidRDefault="00463997" w:rsidP="00463997">
      <w:pPr>
        <w:jc w:val="both"/>
        <w:rPr>
          <w:b/>
          <w:i/>
          <w:sz w:val="18"/>
          <w:szCs w:val="18"/>
        </w:rPr>
      </w:pPr>
    </w:p>
    <w:p w:rsidR="00463997" w:rsidRPr="00B37012" w:rsidRDefault="00463997" w:rsidP="00463997">
      <w:pPr>
        <w:autoSpaceDE w:val="0"/>
        <w:jc w:val="both"/>
        <w:rPr>
          <w:b/>
          <w:bCs/>
          <w:i/>
          <w:iCs/>
          <w:sz w:val="18"/>
          <w:szCs w:val="18"/>
        </w:rPr>
      </w:pPr>
    </w:p>
    <w:p w:rsidR="00463997" w:rsidRPr="00B37012" w:rsidRDefault="00463997" w:rsidP="00463997">
      <w:pPr>
        <w:autoSpaceDE w:val="0"/>
        <w:jc w:val="both"/>
        <w:rPr>
          <w:sz w:val="18"/>
          <w:szCs w:val="18"/>
        </w:rPr>
      </w:pPr>
      <w:r w:rsidRPr="00B37012">
        <w:rPr>
          <w:b/>
          <w:bCs/>
          <w:i/>
          <w:iCs/>
          <w:sz w:val="18"/>
          <w:szCs w:val="18"/>
        </w:rPr>
        <w:t xml:space="preserve">při určení výše emisního kursu pro upisovatele se postupovalo </w:t>
      </w:r>
      <w:r>
        <w:rPr>
          <w:b/>
          <w:bCs/>
          <w:i/>
          <w:iCs/>
          <w:sz w:val="18"/>
          <w:szCs w:val="18"/>
        </w:rPr>
        <w:t xml:space="preserve">jednotně </w:t>
      </w:r>
      <w:r w:rsidRPr="00B37012">
        <w:rPr>
          <w:b/>
          <w:bCs/>
          <w:i/>
          <w:iCs/>
          <w:sz w:val="18"/>
          <w:szCs w:val="18"/>
        </w:rPr>
        <w:t>v souladu se „Zásadami pro oceňování nepeněžitých vkladů a stanovení emisních ážií za účelem zvyšování základního kapitálu společnosti“ přijatými řádnou valnou hroma</w:t>
      </w:r>
      <w:r>
        <w:rPr>
          <w:b/>
          <w:bCs/>
          <w:i/>
          <w:iCs/>
          <w:sz w:val="18"/>
          <w:szCs w:val="18"/>
        </w:rPr>
        <w:t xml:space="preserve">dou společnosti dne 08.06.2016 </w:t>
      </w:r>
      <w:r w:rsidRPr="00B37012">
        <w:rPr>
          <w:b/>
          <w:bCs/>
          <w:i/>
          <w:iCs/>
          <w:sz w:val="18"/>
          <w:szCs w:val="18"/>
        </w:rPr>
        <w:t>(</w:t>
      </w:r>
      <w:r>
        <w:rPr>
          <w:b/>
          <w:i/>
          <w:sz w:val="18"/>
          <w:szCs w:val="18"/>
        </w:rPr>
        <w:t xml:space="preserve">Osvědčení </w:t>
      </w:r>
      <w:r w:rsidRPr="00B37012">
        <w:rPr>
          <w:b/>
          <w:i/>
          <w:sz w:val="18"/>
          <w:szCs w:val="18"/>
        </w:rPr>
        <w:t xml:space="preserve">provedeno formou notářského zápisu JUDr. Jany Čírtkové, notářky v Hradci Králové pod </w:t>
      </w:r>
      <w:proofErr w:type="spellStart"/>
      <w:r w:rsidRPr="00B37012">
        <w:rPr>
          <w:b/>
          <w:i/>
          <w:sz w:val="18"/>
          <w:szCs w:val="18"/>
        </w:rPr>
        <w:t>sp.zn</w:t>
      </w:r>
      <w:proofErr w:type="spellEnd"/>
      <w:r w:rsidRPr="00B37012">
        <w:rPr>
          <w:b/>
          <w:i/>
          <w:sz w:val="18"/>
          <w:szCs w:val="18"/>
        </w:rPr>
        <w:t xml:space="preserve">. NZ 316/2016 ze dne 08.06.2016), </w:t>
      </w:r>
      <w:r w:rsidRPr="00B37012">
        <w:rPr>
          <w:b/>
          <w:bCs/>
          <w:i/>
          <w:iCs/>
          <w:sz w:val="18"/>
          <w:szCs w:val="18"/>
        </w:rPr>
        <w:t>způsob určení emisního kursu je pro všechny upisovatele stejný a při jeho stanovení je zohledněna objektivizace poměrem základního kapitálu a celkových aktiv společnosti, čímž jsou chráněny zájmy stávajících akcionářů společnosti.</w:t>
      </w:r>
    </w:p>
    <w:p w:rsidR="00463997" w:rsidRPr="009A1B38" w:rsidRDefault="00463997" w:rsidP="00463997">
      <w:pPr>
        <w:pStyle w:val="Zkladntext0"/>
        <w:shd w:val="clear" w:color="auto" w:fill="FFFFFF" w:themeFill="background1"/>
        <w:tabs>
          <w:tab w:val="left" w:pos="1232"/>
        </w:tabs>
        <w:spacing w:before="0"/>
        <w:jc w:val="both"/>
        <w:rPr>
          <w:i/>
          <w:sz w:val="18"/>
          <w:szCs w:val="18"/>
        </w:rPr>
      </w:pPr>
    </w:p>
    <w:p w:rsidR="00463997" w:rsidRPr="009A1B38" w:rsidRDefault="00463997" w:rsidP="00463997">
      <w:pPr>
        <w:pStyle w:val="Zkladntext0"/>
        <w:shd w:val="clear" w:color="auto" w:fill="FFFFFF" w:themeFill="background1"/>
        <w:tabs>
          <w:tab w:val="left" w:pos="1232"/>
        </w:tabs>
        <w:spacing w:before="0"/>
        <w:jc w:val="both"/>
        <w:rPr>
          <w:i/>
          <w:sz w:val="18"/>
          <w:szCs w:val="18"/>
        </w:rPr>
      </w:pPr>
      <w:r w:rsidRPr="009A1B38">
        <w:rPr>
          <w:i/>
          <w:sz w:val="18"/>
          <w:szCs w:val="18"/>
        </w:rPr>
        <w:t>6) Valná hromada ukládá představenstvu společnosti učinit všechna potřebná opatření ke splnění tohoto usnesení.</w:t>
      </w:r>
    </w:p>
    <w:p w:rsidR="008D4C69" w:rsidRDefault="008D4C69" w:rsidP="007C0AB7">
      <w:pPr>
        <w:pStyle w:val="Zkladntext0"/>
        <w:shd w:val="clear" w:color="auto" w:fill="FFFFFF" w:themeFill="background1"/>
        <w:tabs>
          <w:tab w:val="left" w:pos="1232"/>
        </w:tabs>
        <w:spacing w:before="0"/>
        <w:jc w:val="both"/>
        <w:rPr>
          <w:b w:val="0"/>
          <w:sz w:val="18"/>
          <w:szCs w:val="18"/>
        </w:rPr>
      </w:pPr>
    </w:p>
    <w:p w:rsidR="00263CA3" w:rsidRPr="007C0AB7" w:rsidRDefault="00263CA3" w:rsidP="007C0AB7">
      <w:pPr>
        <w:pStyle w:val="Zkladntext0"/>
        <w:shd w:val="clear" w:color="auto" w:fill="FFFFFF" w:themeFill="background1"/>
        <w:tabs>
          <w:tab w:val="left" w:pos="1232"/>
        </w:tabs>
        <w:spacing w:before="0"/>
        <w:jc w:val="both"/>
        <w:rPr>
          <w:b w:val="0"/>
          <w:sz w:val="18"/>
          <w:szCs w:val="18"/>
        </w:rPr>
      </w:pPr>
      <w:r w:rsidRPr="007C0AB7">
        <w:rPr>
          <w:b w:val="0"/>
          <w:sz w:val="18"/>
          <w:szCs w:val="18"/>
        </w:rPr>
        <w:t xml:space="preserve">Řádná </w:t>
      </w:r>
      <w:r w:rsidR="005C6C2C" w:rsidRPr="007C0AB7">
        <w:rPr>
          <w:b w:val="0"/>
          <w:sz w:val="18"/>
          <w:szCs w:val="18"/>
        </w:rPr>
        <w:t>roční účetní závěrka za rok 201</w:t>
      </w:r>
      <w:r w:rsidR="008D4C69">
        <w:rPr>
          <w:b w:val="0"/>
          <w:sz w:val="18"/>
          <w:szCs w:val="18"/>
        </w:rPr>
        <w:t>7</w:t>
      </w:r>
      <w:r w:rsidR="006B6131" w:rsidRPr="007C0AB7">
        <w:rPr>
          <w:b w:val="0"/>
          <w:sz w:val="18"/>
          <w:szCs w:val="18"/>
        </w:rPr>
        <w:t xml:space="preserve">, jakož i </w:t>
      </w:r>
      <w:r w:rsidR="00292A6C" w:rsidRPr="00972AEE">
        <w:rPr>
          <w:b w:val="0"/>
          <w:sz w:val="18"/>
          <w:szCs w:val="18"/>
        </w:rPr>
        <w:t>znalecké posudky</w:t>
      </w:r>
      <w:r w:rsidR="009B6983">
        <w:rPr>
          <w:b w:val="0"/>
          <w:sz w:val="18"/>
          <w:szCs w:val="18"/>
        </w:rPr>
        <w:t xml:space="preserve"> </w:t>
      </w:r>
      <w:r w:rsidR="006B6131" w:rsidRPr="007C0AB7">
        <w:rPr>
          <w:b w:val="0"/>
          <w:sz w:val="18"/>
          <w:szCs w:val="18"/>
        </w:rPr>
        <w:t>jsou</w:t>
      </w:r>
      <w:r w:rsidR="0040480D">
        <w:rPr>
          <w:b w:val="0"/>
          <w:sz w:val="18"/>
          <w:szCs w:val="18"/>
        </w:rPr>
        <w:t xml:space="preserve"> </w:t>
      </w:r>
      <w:r w:rsidR="006B6131" w:rsidRPr="007C0AB7">
        <w:rPr>
          <w:b w:val="0"/>
          <w:sz w:val="18"/>
          <w:szCs w:val="18"/>
        </w:rPr>
        <w:t xml:space="preserve">pro akcionáře </w:t>
      </w:r>
      <w:r w:rsidRPr="007C0AB7">
        <w:rPr>
          <w:b w:val="0"/>
          <w:sz w:val="18"/>
          <w:szCs w:val="18"/>
        </w:rPr>
        <w:t xml:space="preserve">k nahlédnutí od </w:t>
      </w:r>
      <w:r w:rsidR="007374AD">
        <w:rPr>
          <w:b w:val="0"/>
          <w:sz w:val="18"/>
          <w:szCs w:val="18"/>
        </w:rPr>
        <w:t>18.05.</w:t>
      </w:r>
      <w:r w:rsidR="005C6C2C" w:rsidRPr="007C0AB7">
        <w:rPr>
          <w:b w:val="0"/>
          <w:sz w:val="18"/>
          <w:szCs w:val="18"/>
        </w:rPr>
        <w:t>201</w:t>
      </w:r>
      <w:r w:rsidR="008D4C69">
        <w:rPr>
          <w:b w:val="0"/>
          <w:sz w:val="18"/>
          <w:szCs w:val="18"/>
        </w:rPr>
        <w:t>8</w:t>
      </w:r>
      <w:r w:rsidR="0040480D">
        <w:rPr>
          <w:b w:val="0"/>
          <w:sz w:val="18"/>
          <w:szCs w:val="18"/>
        </w:rPr>
        <w:t xml:space="preserve"> </w:t>
      </w:r>
      <w:r w:rsidR="006B6131" w:rsidRPr="007C0AB7">
        <w:rPr>
          <w:b w:val="0"/>
          <w:sz w:val="18"/>
          <w:szCs w:val="18"/>
        </w:rPr>
        <w:t xml:space="preserve">do dne konání valné hromady </w:t>
      </w:r>
      <w:r w:rsidRPr="007C0AB7">
        <w:rPr>
          <w:b w:val="0"/>
          <w:sz w:val="18"/>
          <w:szCs w:val="18"/>
        </w:rPr>
        <w:t>v sídle společnosti v pracovních dnech od 8</w:t>
      </w:r>
      <w:r w:rsidR="00F71B16" w:rsidRPr="007C0AB7">
        <w:rPr>
          <w:b w:val="0"/>
          <w:sz w:val="18"/>
          <w:szCs w:val="18"/>
          <w:vertAlign w:val="superscript"/>
        </w:rPr>
        <w:t>00</w:t>
      </w:r>
      <w:r w:rsidRPr="007C0AB7">
        <w:rPr>
          <w:b w:val="0"/>
          <w:sz w:val="18"/>
          <w:szCs w:val="18"/>
        </w:rPr>
        <w:t xml:space="preserve"> do 14</w:t>
      </w:r>
      <w:r w:rsidR="00F71B16" w:rsidRPr="007C0AB7">
        <w:rPr>
          <w:b w:val="0"/>
          <w:sz w:val="18"/>
          <w:szCs w:val="18"/>
          <w:vertAlign w:val="superscript"/>
        </w:rPr>
        <w:t>00</w:t>
      </w:r>
      <w:r w:rsidRPr="007C0AB7">
        <w:rPr>
          <w:b w:val="0"/>
          <w:sz w:val="18"/>
          <w:szCs w:val="18"/>
        </w:rPr>
        <w:t xml:space="preserve"> hodin</w:t>
      </w:r>
      <w:r w:rsidR="006B6131" w:rsidRPr="007C0AB7">
        <w:rPr>
          <w:b w:val="0"/>
          <w:sz w:val="18"/>
          <w:szCs w:val="18"/>
        </w:rPr>
        <w:t xml:space="preserve"> a </w:t>
      </w:r>
      <w:r w:rsidR="007A2605" w:rsidRPr="007C0AB7">
        <w:rPr>
          <w:b w:val="0"/>
          <w:sz w:val="18"/>
          <w:szCs w:val="18"/>
        </w:rPr>
        <w:t xml:space="preserve">současně </w:t>
      </w:r>
      <w:r w:rsidR="006B6131" w:rsidRPr="007C0AB7">
        <w:rPr>
          <w:b w:val="0"/>
          <w:sz w:val="18"/>
          <w:szCs w:val="18"/>
        </w:rPr>
        <w:t xml:space="preserve">jsou </w:t>
      </w:r>
      <w:r w:rsidR="00215013" w:rsidRPr="007C0AB7">
        <w:rPr>
          <w:b w:val="0"/>
          <w:sz w:val="18"/>
          <w:szCs w:val="18"/>
        </w:rPr>
        <w:t xml:space="preserve">zveřejněny na internetových stránkách společnosti </w:t>
      </w:r>
      <w:hyperlink r:id="rId7" w:history="1">
        <w:r w:rsidR="00215013" w:rsidRPr="007C0AB7">
          <w:rPr>
            <w:rStyle w:val="Hypertextovodkaz"/>
            <w:b w:val="0"/>
            <w:sz w:val="18"/>
            <w:szCs w:val="18"/>
          </w:rPr>
          <w:t>www.vosjicin.cz</w:t>
        </w:r>
      </w:hyperlink>
      <w:r w:rsidR="00215013" w:rsidRPr="007C0AB7">
        <w:rPr>
          <w:b w:val="0"/>
          <w:sz w:val="18"/>
          <w:szCs w:val="18"/>
        </w:rPr>
        <w:t>.</w:t>
      </w:r>
      <w:r w:rsidR="007A2605" w:rsidRPr="007C0AB7">
        <w:rPr>
          <w:b w:val="0"/>
          <w:sz w:val="18"/>
          <w:szCs w:val="18"/>
        </w:rPr>
        <w:t xml:space="preserve"> Akcionář má právo vyžádat si zaslání kopie na svůj náklad a na své nebezpečí.</w:t>
      </w:r>
    </w:p>
    <w:p w:rsidR="00292A6C" w:rsidRDefault="00292A6C" w:rsidP="00B5505B">
      <w:pPr>
        <w:spacing w:beforeLines="60" w:before="144"/>
        <w:jc w:val="right"/>
        <w:rPr>
          <w:sz w:val="18"/>
          <w:szCs w:val="18"/>
        </w:rPr>
      </w:pPr>
      <w:bookmarkStart w:id="0" w:name="_GoBack"/>
      <w:bookmarkEnd w:id="0"/>
    </w:p>
    <w:p w:rsidR="00263CA3" w:rsidRPr="007C0AB7" w:rsidRDefault="00076126" w:rsidP="00B5505B">
      <w:pPr>
        <w:spacing w:beforeLines="60" w:before="144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JUDr. Jan </w:t>
      </w:r>
      <w:proofErr w:type="gramStart"/>
      <w:r>
        <w:rPr>
          <w:sz w:val="18"/>
          <w:szCs w:val="18"/>
        </w:rPr>
        <w:t>Malý</w:t>
      </w:r>
      <w:r w:rsidR="00263CA3" w:rsidRPr="007C0AB7">
        <w:rPr>
          <w:sz w:val="18"/>
          <w:szCs w:val="18"/>
        </w:rPr>
        <w:t xml:space="preserve"> - předseda</w:t>
      </w:r>
      <w:proofErr w:type="gramEnd"/>
      <w:r w:rsidR="00263CA3" w:rsidRPr="007C0AB7">
        <w:rPr>
          <w:sz w:val="18"/>
          <w:szCs w:val="18"/>
        </w:rPr>
        <w:t xml:space="preserve"> představenstva, v.r.</w:t>
      </w:r>
    </w:p>
    <w:sectPr w:rsidR="00263CA3" w:rsidRPr="007C0AB7" w:rsidSect="006A3302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5"/>
      <w:pgMar w:top="739" w:right="1440" w:bottom="709" w:left="993" w:header="0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88" w:rsidRDefault="00915E88" w:rsidP="00D534D6">
      <w:r>
        <w:separator/>
      </w:r>
    </w:p>
  </w:endnote>
  <w:endnote w:type="continuationSeparator" w:id="0">
    <w:p w:rsidR="00915E88" w:rsidRDefault="00915E88" w:rsidP="00D5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784913"/>
      <w:docPartObj>
        <w:docPartGallery w:val="Page Numbers (Bottom of Page)"/>
        <w:docPartUnique/>
      </w:docPartObj>
    </w:sdtPr>
    <w:sdtEndPr/>
    <w:sdtContent>
      <w:p w:rsidR="00E67614" w:rsidRDefault="00E534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7614" w:rsidRDefault="00E676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88" w:rsidRDefault="00915E88" w:rsidP="00D534D6">
      <w:r>
        <w:separator/>
      </w:r>
    </w:p>
  </w:footnote>
  <w:footnote w:type="continuationSeparator" w:id="0">
    <w:p w:rsidR="00915E88" w:rsidRDefault="00915E88" w:rsidP="00D53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302" w:rsidRDefault="006A3302">
    <w:pPr>
      <w:pStyle w:val="Zhlav"/>
    </w:pPr>
    <w:r>
      <w:rPr>
        <w:noProof/>
      </w:rPr>
      <w:drawing>
        <wp:inline distT="0" distB="0" distL="0" distR="0" wp14:anchorId="3457C3C4" wp14:editId="25FE14B1">
          <wp:extent cx="1049573" cy="563880"/>
          <wp:effectExtent l="0" t="0" r="0" b="7620"/>
          <wp:docPr id="3" name="Obrázek 3" descr="logo_colour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colours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27" cy="56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38C76E"/>
    <w:lvl w:ilvl="0">
      <w:numFmt w:val="bullet"/>
      <w:lvlText w:val="*"/>
      <w:lvlJc w:val="left"/>
    </w:lvl>
  </w:abstractNum>
  <w:abstractNum w:abstractNumId="1" w15:restartNumberingAfterBreak="0">
    <w:nsid w:val="08393691"/>
    <w:multiLevelType w:val="hybridMultilevel"/>
    <w:tmpl w:val="23642248"/>
    <w:lvl w:ilvl="0" w:tplc="95A2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A186A"/>
    <w:multiLevelType w:val="hybridMultilevel"/>
    <w:tmpl w:val="337C7440"/>
    <w:lvl w:ilvl="0" w:tplc="3E7A41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0D1"/>
    <w:multiLevelType w:val="hybridMultilevel"/>
    <w:tmpl w:val="16BCB3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35B6F"/>
    <w:multiLevelType w:val="hybridMultilevel"/>
    <w:tmpl w:val="AF365DD0"/>
    <w:lvl w:ilvl="0" w:tplc="137A7338">
      <w:start w:val="7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5" w15:restartNumberingAfterBreak="0">
    <w:nsid w:val="2CC77A3B"/>
    <w:multiLevelType w:val="hybridMultilevel"/>
    <w:tmpl w:val="06EE59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D1BB6"/>
    <w:multiLevelType w:val="hybridMultilevel"/>
    <w:tmpl w:val="FD624190"/>
    <w:lvl w:ilvl="0" w:tplc="5242367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78C"/>
    <w:multiLevelType w:val="hybridMultilevel"/>
    <w:tmpl w:val="49CA3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265F8"/>
    <w:multiLevelType w:val="hybridMultilevel"/>
    <w:tmpl w:val="90965254"/>
    <w:lvl w:ilvl="0" w:tplc="95A2ED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4093297"/>
    <w:multiLevelType w:val="hybridMultilevel"/>
    <w:tmpl w:val="99DC0212"/>
    <w:lvl w:ilvl="0" w:tplc="95A2E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A78F3"/>
    <w:multiLevelType w:val="hybridMultilevel"/>
    <w:tmpl w:val="AE36FCDA"/>
    <w:lvl w:ilvl="0" w:tplc="95A2ED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619424DC"/>
    <w:multiLevelType w:val="multilevel"/>
    <w:tmpl w:val="A21E0A7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18"/>
    <w:rsid w:val="000045F3"/>
    <w:rsid w:val="0000609D"/>
    <w:rsid w:val="0001188A"/>
    <w:rsid w:val="00011E0D"/>
    <w:rsid w:val="00017B25"/>
    <w:rsid w:val="00020332"/>
    <w:rsid w:val="00023749"/>
    <w:rsid w:val="000241EF"/>
    <w:rsid w:val="00027867"/>
    <w:rsid w:val="00030E2B"/>
    <w:rsid w:val="0003470E"/>
    <w:rsid w:val="00037463"/>
    <w:rsid w:val="00041CDB"/>
    <w:rsid w:val="000438FA"/>
    <w:rsid w:val="00051BD4"/>
    <w:rsid w:val="00076126"/>
    <w:rsid w:val="0007621E"/>
    <w:rsid w:val="000769CE"/>
    <w:rsid w:val="00080225"/>
    <w:rsid w:val="00082B8B"/>
    <w:rsid w:val="00085751"/>
    <w:rsid w:val="000872CB"/>
    <w:rsid w:val="0009066A"/>
    <w:rsid w:val="00092482"/>
    <w:rsid w:val="0009260B"/>
    <w:rsid w:val="000A2B41"/>
    <w:rsid w:val="000A47DC"/>
    <w:rsid w:val="000B20B7"/>
    <w:rsid w:val="000B3CA7"/>
    <w:rsid w:val="000C29ED"/>
    <w:rsid w:val="000E55E4"/>
    <w:rsid w:val="000F39A0"/>
    <w:rsid w:val="00110437"/>
    <w:rsid w:val="00112FD1"/>
    <w:rsid w:val="00125C6A"/>
    <w:rsid w:val="00126FB0"/>
    <w:rsid w:val="00134310"/>
    <w:rsid w:val="001413F2"/>
    <w:rsid w:val="0016014B"/>
    <w:rsid w:val="0018262A"/>
    <w:rsid w:val="00190DD4"/>
    <w:rsid w:val="001935E8"/>
    <w:rsid w:val="00194967"/>
    <w:rsid w:val="001A4400"/>
    <w:rsid w:val="001A4E04"/>
    <w:rsid w:val="001A6FD9"/>
    <w:rsid w:val="001B16D6"/>
    <w:rsid w:val="001D68A4"/>
    <w:rsid w:val="001E1699"/>
    <w:rsid w:val="001E4EA3"/>
    <w:rsid w:val="001F07FB"/>
    <w:rsid w:val="001F144E"/>
    <w:rsid w:val="002023C9"/>
    <w:rsid w:val="00204644"/>
    <w:rsid w:val="00205ACE"/>
    <w:rsid w:val="00215013"/>
    <w:rsid w:val="0022022D"/>
    <w:rsid w:val="00227766"/>
    <w:rsid w:val="00230D1B"/>
    <w:rsid w:val="002328FB"/>
    <w:rsid w:val="0025082A"/>
    <w:rsid w:val="00252360"/>
    <w:rsid w:val="00263CA3"/>
    <w:rsid w:val="00266AFA"/>
    <w:rsid w:val="0026727F"/>
    <w:rsid w:val="002907F0"/>
    <w:rsid w:val="00292A6C"/>
    <w:rsid w:val="002935EB"/>
    <w:rsid w:val="00297A4B"/>
    <w:rsid w:val="002A0609"/>
    <w:rsid w:val="002A2BE2"/>
    <w:rsid w:val="002A332A"/>
    <w:rsid w:val="002A4F18"/>
    <w:rsid w:val="002A5E7D"/>
    <w:rsid w:val="002A5F37"/>
    <w:rsid w:val="002B650E"/>
    <w:rsid w:val="002C13CE"/>
    <w:rsid w:val="002C51A7"/>
    <w:rsid w:val="002D5C49"/>
    <w:rsid w:val="002D72E7"/>
    <w:rsid w:val="002E3FE3"/>
    <w:rsid w:val="002F0B59"/>
    <w:rsid w:val="002F595D"/>
    <w:rsid w:val="0030229C"/>
    <w:rsid w:val="00307205"/>
    <w:rsid w:val="00321182"/>
    <w:rsid w:val="00324A0F"/>
    <w:rsid w:val="00325556"/>
    <w:rsid w:val="003409A3"/>
    <w:rsid w:val="003441B6"/>
    <w:rsid w:val="00350603"/>
    <w:rsid w:val="003529A5"/>
    <w:rsid w:val="00381DC9"/>
    <w:rsid w:val="003A1563"/>
    <w:rsid w:val="003A4534"/>
    <w:rsid w:val="003A56AF"/>
    <w:rsid w:val="003B050A"/>
    <w:rsid w:val="003B293F"/>
    <w:rsid w:val="003B5F6C"/>
    <w:rsid w:val="003B7A51"/>
    <w:rsid w:val="003C1E58"/>
    <w:rsid w:val="003C4001"/>
    <w:rsid w:val="003D0D52"/>
    <w:rsid w:val="003D11E0"/>
    <w:rsid w:val="003D613E"/>
    <w:rsid w:val="003F00C6"/>
    <w:rsid w:val="003F0C36"/>
    <w:rsid w:val="003F3B12"/>
    <w:rsid w:val="0040480D"/>
    <w:rsid w:val="00404D34"/>
    <w:rsid w:val="004142E9"/>
    <w:rsid w:val="00416772"/>
    <w:rsid w:val="00423788"/>
    <w:rsid w:val="004274F1"/>
    <w:rsid w:val="004313AC"/>
    <w:rsid w:val="00433647"/>
    <w:rsid w:val="00440F27"/>
    <w:rsid w:val="00442E6E"/>
    <w:rsid w:val="00445CCC"/>
    <w:rsid w:val="0045583F"/>
    <w:rsid w:val="00460377"/>
    <w:rsid w:val="004632C9"/>
    <w:rsid w:val="00463997"/>
    <w:rsid w:val="004639D7"/>
    <w:rsid w:val="00465E30"/>
    <w:rsid w:val="00467D77"/>
    <w:rsid w:val="004705EE"/>
    <w:rsid w:val="004759C4"/>
    <w:rsid w:val="00480B4F"/>
    <w:rsid w:val="00484377"/>
    <w:rsid w:val="00486A82"/>
    <w:rsid w:val="00487604"/>
    <w:rsid w:val="004A6363"/>
    <w:rsid w:val="004B011D"/>
    <w:rsid w:val="004B5D49"/>
    <w:rsid w:val="004C490E"/>
    <w:rsid w:val="004C614E"/>
    <w:rsid w:val="004D01C9"/>
    <w:rsid w:val="004D420C"/>
    <w:rsid w:val="004E0FD3"/>
    <w:rsid w:val="004E3D44"/>
    <w:rsid w:val="004E51F1"/>
    <w:rsid w:val="004E696F"/>
    <w:rsid w:val="004F261E"/>
    <w:rsid w:val="004F2CA1"/>
    <w:rsid w:val="005019FF"/>
    <w:rsid w:val="00501BCE"/>
    <w:rsid w:val="005078D9"/>
    <w:rsid w:val="005254FE"/>
    <w:rsid w:val="00566F61"/>
    <w:rsid w:val="00574C0E"/>
    <w:rsid w:val="0059001C"/>
    <w:rsid w:val="00590129"/>
    <w:rsid w:val="00593139"/>
    <w:rsid w:val="005A4A9A"/>
    <w:rsid w:val="005B31EF"/>
    <w:rsid w:val="005C4540"/>
    <w:rsid w:val="005C5ED9"/>
    <w:rsid w:val="005C6C2C"/>
    <w:rsid w:val="005E4D81"/>
    <w:rsid w:val="005F19EF"/>
    <w:rsid w:val="005F49EF"/>
    <w:rsid w:val="005F77A2"/>
    <w:rsid w:val="00613E51"/>
    <w:rsid w:val="006172A5"/>
    <w:rsid w:val="0062367A"/>
    <w:rsid w:val="00632C7A"/>
    <w:rsid w:val="00636372"/>
    <w:rsid w:val="0064320A"/>
    <w:rsid w:val="0066589E"/>
    <w:rsid w:val="006746EA"/>
    <w:rsid w:val="00675424"/>
    <w:rsid w:val="00683549"/>
    <w:rsid w:val="00691A38"/>
    <w:rsid w:val="00691E00"/>
    <w:rsid w:val="006A3302"/>
    <w:rsid w:val="006A4852"/>
    <w:rsid w:val="006A6B76"/>
    <w:rsid w:val="006B02F8"/>
    <w:rsid w:val="006B2C52"/>
    <w:rsid w:val="006B6131"/>
    <w:rsid w:val="006C401D"/>
    <w:rsid w:val="006D652B"/>
    <w:rsid w:val="006E3240"/>
    <w:rsid w:val="006F2709"/>
    <w:rsid w:val="00703296"/>
    <w:rsid w:val="00703A81"/>
    <w:rsid w:val="00703D27"/>
    <w:rsid w:val="0071304B"/>
    <w:rsid w:val="0071379A"/>
    <w:rsid w:val="00735E17"/>
    <w:rsid w:val="007374AD"/>
    <w:rsid w:val="0074484F"/>
    <w:rsid w:val="00744B53"/>
    <w:rsid w:val="00752684"/>
    <w:rsid w:val="00756ABD"/>
    <w:rsid w:val="0076231D"/>
    <w:rsid w:val="007650EA"/>
    <w:rsid w:val="00771B0B"/>
    <w:rsid w:val="007800B8"/>
    <w:rsid w:val="007827B5"/>
    <w:rsid w:val="00782854"/>
    <w:rsid w:val="00785751"/>
    <w:rsid w:val="00787DDD"/>
    <w:rsid w:val="007940A1"/>
    <w:rsid w:val="00796462"/>
    <w:rsid w:val="007A0ADD"/>
    <w:rsid w:val="007A1E60"/>
    <w:rsid w:val="007A2605"/>
    <w:rsid w:val="007A6ED0"/>
    <w:rsid w:val="007B1554"/>
    <w:rsid w:val="007B4B26"/>
    <w:rsid w:val="007B771E"/>
    <w:rsid w:val="007C0AB7"/>
    <w:rsid w:val="007C2B8B"/>
    <w:rsid w:val="007C45CE"/>
    <w:rsid w:val="007D1C53"/>
    <w:rsid w:val="007E073B"/>
    <w:rsid w:val="007F6038"/>
    <w:rsid w:val="008021BF"/>
    <w:rsid w:val="00822706"/>
    <w:rsid w:val="0083628C"/>
    <w:rsid w:val="00845881"/>
    <w:rsid w:val="00846948"/>
    <w:rsid w:val="00847A1D"/>
    <w:rsid w:val="008664BA"/>
    <w:rsid w:val="00880CFF"/>
    <w:rsid w:val="008818A4"/>
    <w:rsid w:val="008831B2"/>
    <w:rsid w:val="00883213"/>
    <w:rsid w:val="00885E8A"/>
    <w:rsid w:val="00892E39"/>
    <w:rsid w:val="00894C57"/>
    <w:rsid w:val="00896384"/>
    <w:rsid w:val="008A470E"/>
    <w:rsid w:val="008B3192"/>
    <w:rsid w:val="008B5F31"/>
    <w:rsid w:val="008B6CA1"/>
    <w:rsid w:val="008B7BF6"/>
    <w:rsid w:val="008C1642"/>
    <w:rsid w:val="008D05F1"/>
    <w:rsid w:val="008D4C69"/>
    <w:rsid w:val="008D53D4"/>
    <w:rsid w:val="008E6386"/>
    <w:rsid w:val="008E73DC"/>
    <w:rsid w:val="008F0E2A"/>
    <w:rsid w:val="008F695C"/>
    <w:rsid w:val="009031A2"/>
    <w:rsid w:val="00903CA7"/>
    <w:rsid w:val="00906985"/>
    <w:rsid w:val="00914D14"/>
    <w:rsid w:val="00915E88"/>
    <w:rsid w:val="0092095C"/>
    <w:rsid w:val="00924C3C"/>
    <w:rsid w:val="00926E7B"/>
    <w:rsid w:val="009333C3"/>
    <w:rsid w:val="00934E04"/>
    <w:rsid w:val="00935F5A"/>
    <w:rsid w:val="00940EAC"/>
    <w:rsid w:val="0095419D"/>
    <w:rsid w:val="00954387"/>
    <w:rsid w:val="0095455D"/>
    <w:rsid w:val="00955886"/>
    <w:rsid w:val="00966A30"/>
    <w:rsid w:val="00970A09"/>
    <w:rsid w:val="00972AEE"/>
    <w:rsid w:val="00975658"/>
    <w:rsid w:val="00980AC0"/>
    <w:rsid w:val="00982E75"/>
    <w:rsid w:val="009838FE"/>
    <w:rsid w:val="00994F3B"/>
    <w:rsid w:val="009965D8"/>
    <w:rsid w:val="009A0B8F"/>
    <w:rsid w:val="009A39DB"/>
    <w:rsid w:val="009A5664"/>
    <w:rsid w:val="009B4825"/>
    <w:rsid w:val="009B6983"/>
    <w:rsid w:val="009C1155"/>
    <w:rsid w:val="009C5A4C"/>
    <w:rsid w:val="009C6256"/>
    <w:rsid w:val="009D2548"/>
    <w:rsid w:val="009E2124"/>
    <w:rsid w:val="009E27B6"/>
    <w:rsid w:val="009F0F36"/>
    <w:rsid w:val="00A14019"/>
    <w:rsid w:val="00A34389"/>
    <w:rsid w:val="00A354B3"/>
    <w:rsid w:val="00A4486D"/>
    <w:rsid w:val="00A55CFF"/>
    <w:rsid w:val="00A60338"/>
    <w:rsid w:val="00A60E4F"/>
    <w:rsid w:val="00A64A72"/>
    <w:rsid w:val="00A65064"/>
    <w:rsid w:val="00A66A59"/>
    <w:rsid w:val="00A760A5"/>
    <w:rsid w:val="00A7667A"/>
    <w:rsid w:val="00A777A4"/>
    <w:rsid w:val="00A81A91"/>
    <w:rsid w:val="00A94D3D"/>
    <w:rsid w:val="00A97222"/>
    <w:rsid w:val="00AB1D48"/>
    <w:rsid w:val="00AB519E"/>
    <w:rsid w:val="00AC3D03"/>
    <w:rsid w:val="00AD5B97"/>
    <w:rsid w:val="00AD6843"/>
    <w:rsid w:val="00AD771A"/>
    <w:rsid w:val="00AE0DB9"/>
    <w:rsid w:val="00AE5B38"/>
    <w:rsid w:val="00AF46B2"/>
    <w:rsid w:val="00AF7A00"/>
    <w:rsid w:val="00B01DBB"/>
    <w:rsid w:val="00B129DF"/>
    <w:rsid w:val="00B1666F"/>
    <w:rsid w:val="00B2094F"/>
    <w:rsid w:val="00B25B63"/>
    <w:rsid w:val="00B26559"/>
    <w:rsid w:val="00B3098F"/>
    <w:rsid w:val="00B33939"/>
    <w:rsid w:val="00B37012"/>
    <w:rsid w:val="00B40A0C"/>
    <w:rsid w:val="00B4253F"/>
    <w:rsid w:val="00B5201A"/>
    <w:rsid w:val="00B532B3"/>
    <w:rsid w:val="00B54F93"/>
    <w:rsid w:val="00B5505B"/>
    <w:rsid w:val="00B573A9"/>
    <w:rsid w:val="00B60CB8"/>
    <w:rsid w:val="00B64797"/>
    <w:rsid w:val="00B64FC7"/>
    <w:rsid w:val="00B657F6"/>
    <w:rsid w:val="00B709A6"/>
    <w:rsid w:val="00BA008E"/>
    <w:rsid w:val="00BA10B0"/>
    <w:rsid w:val="00BC13F4"/>
    <w:rsid w:val="00BC3B39"/>
    <w:rsid w:val="00BD22EF"/>
    <w:rsid w:val="00BE6575"/>
    <w:rsid w:val="00BF775D"/>
    <w:rsid w:val="00C1658C"/>
    <w:rsid w:val="00C34E8C"/>
    <w:rsid w:val="00C417EB"/>
    <w:rsid w:val="00C43FC3"/>
    <w:rsid w:val="00C5740B"/>
    <w:rsid w:val="00C67D48"/>
    <w:rsid w:val="00C769AC"/>
    <w:rsid w:val="00C832A4"/>
    <w:rsid w:val="00C91C68"/>
    <w:rsid w:val="00C9462C"/>
    <w:rsid w:val="00CA782D"/>
    <w:rsid w:val="00CB47A1"/>
    <w:rsid w:val="00CC50B7"/>
    <w:rsid w:val="00CC6D36"/>
    <w:rsid w:val="00CC71F3"/>
    <w:rsid w:val="00CD35F5"/>
    <w:rsid w:val="00CD6FDC"/>
    <w:rsid w:val="00CE008D"/>
    <w:rsid w:val="00CE0A19"/>
    <w:rsid w:val="00CE556B"/>
    <w:rsid w:val="00CE6256"/>
    <w:rsid w:val="00CF0FEB"/>
    <w:rsid w:val="00CF338D"/>
    <w:rsid w:val="00CF3A0F"/>
    <w:rsid w:val="00CF5091"/>
    <w:rsid w:val="00D104A0"/>
    <w:rsid w:val="00D16A55"/>
    <w:rsid w:val="00D209EC"/>
    <w:rsid w:val="00D25014"/>
    <w:rsid w:val="00D25E81"/>
    <w:rsid w:val="00D4297F"/>
    <w:rsid w:val="00D45048"/>
    <w:rsid w:val="00D50F97"/>
    <w:rsid w:val="00D534D6"/>
    <w:rsid w:val="00D649F8"/>
    <w:rsid w:val="00D677D0"/>
    <w:rsid w:val="00D75EB5"/>
    <w:rsid w:val="00D827F0"/>
    <w:rsid w:val="00D83E30"/>
    <w:rsid w:val="00D86C42"/>
    <w:rsid w:val="00D87EFB"/>
    <w:rsid w:val="00D92458"/>
    <w:rsid w:val="00D94803"/>
    <w:rsid w:val="00DA2DAD"/>
    <w:rsid w:val="00DA5E9C"/>
    <w:rsid w:val="00DB2CA8"/>
    <w:rsid w:val="00DB3E3E"/>
    <w:rsid w:val="00DB41C4"/>
    <w:rsid w:val="00DB7A3F"/>
    <w:rsid w:val="00DC337A"/>
    <w:rsid w:val="00DD2875"/>
    <w:rsid w:val="00DE02AA"/>
    <w:rsid w:val="00DE3BBF"/>
    <w:rsid w:val="00DF1CB8"/>
    <w:rsid w:val="00E033BE"/>
    <w:rsid w:val="00E04B1D"/>
    <w:rsid w:val="00E06FAC"/>
    <w:rsid w:val="00E127CA"/>
    <w:rsid w:val="00E12A83"/>
    <w:rsid w:val="00E12F53"/>
    <w:rsid w:val="00E1387F"/>
    <w:rsid w:val="00E1412C"/>
    <w:rsid w:val="00E43377"/>
    <w:rsid w:val="00E50287"/>
    <w:rsid w:val="00E50361"/>
    <w:rsid w:val="00E521AF"/>
    <w:rsid w:val="00E534A6"/>
    <w:rsid w:val="00E60910"/>
    <w:rsid w:val="00E63729"/>
    <w:rsid w:val="00E67614"/>
    <w:rsid w:val="00E71A69"/>
    <w:rsid w:val="00E75F44"/>
    <w:rsid w:val="00E84537"/>
    <w:rsid w:val="00E962ED"/>
    <w:rsid w:val="00EA20B7"/>
    <w:rsid w:val="00EB5BF4"/>
    <w:rsid w:val="00ED23B7"/>
    <w:rsid w:val="00ED392A"/>
    <w:rsid w:val="00ED581A"/>
    <w:rsid w:val="00EF2685"/>
    <w:rsid w:val="00EF7732"/>
    <w:rsid w:val="00F03A81"/>
    <w:rsid w:val="00F04BA6"/>
    <w:rsid w:val="00F13699"/>
    <w:rsid w:val="00F142FA"/>
    <w:rsid w:val="00F2204B"/>
    <w:rsid w:val="00F25733"/>
    <w:rsid w:val="00F26C3E"/>
    <w:rsid w:val="00F3140A"/>
    <w:rsid w:val="00F324B3"/>
    <w:rsid w:val="00F36BF8"/>
    <w:rsid w:val="00F41EBF"/>
    <w:rsid w:val="00F4482E"/>
    <w:rsid w:val="00F541B2"/>
    <w:rsid w:val="00F555AA"/>
    <w:rsid w:val="00F65E02"/>
    <w:rsid w:val="00F673C1"/>
    <w:rsid w:val="00F71B16"/>
    <w:rsid w:val="00F72952"/>
    <w:rsid w:val="00F7653C"/>
    <w:rsid w:val="00F82300"/>
    <w:rsid w:val="00F87FD4"/>
    <w:rsid w:val="00F92005"/>
    <w:rsid w:val="00F96164"/>
    <w:rsid w:val="00F969F4"/>
    <w:rsid w:val="00FA1F63"/>
    <w:rsid w:val="00FA40BE"/>
    <w:rsid w:val="00FB4206"/>
    <w:rsid w:val="00FB4B29"/>
    <w:rsid w:val="00FC12F9"/>
    <w:rsid w:val="00FC7DC2"/>
    <w:rsid w:val="00FD601F"/>
    <w:rsid w:val="00FD6C37"/>
    <w:rsid w:val="00FE19E0"/>
    <w:rsid w:val="00FE4B2A"/>
    <w:rsid w:val="00FE6E07"/>
    <w:rsid w:val="00FF1D14"/>
    <w:rsid w:val="00FF3B46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312C8"/>
  <w15:docId w15:val="{2664D779-97ED-414C-896C-D081167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rPr>
      <w:sz w:val="24"/>
    </w:rPr>
  </w:style>
  <w:style w:type="paragraph" w:customStyle="1" w:styleId="Standardnpsmoodstavce1">
    <w:name w:val="Standardní písmo odstavce1"/>
    <w:basedOn w:val="Normln"/>
    <w:rPr>
      <w:sz w:val="20"/>
    </w:rPr>
  </w:style>
  <w:style w:type="paragraph" w:styleId="Zkladntext">
    <w:name w:val="Body Text"/>
    <w:basedOn w:val="Normln"/>
    <w:semiHidden/>
  </w:style>
  <w:style w:type="paragraph" w:customStyle="1" w:styleId="Normln0">
    <w:name w:val="Normální~"/>
    <w:basedOn w:val="Normln"/>
    <w:rPr>
      <w:sz w:val="20"/>
    </w:rPr>
  </w:style>
  <w:style w:type="paragraph" w:customStyle="1" w:styleId="Normln1">
    <w:name w:val="Normální1"/>
    <w:basedOn w:val="Normln0"/>
  </w:style>
  <w:style w:type="paragraph" w:styleId="Zkladntextodsazen">
    <w:name w:val="Body Text Indent"/>
    <w:basedOn w:val="Normln1"/>
    <w:semiHidden/>
    <w:pPr>
      <w:ind w:left="360"/>
      <w:jc w:val="both"/>
    </w:pPr>
    <w:rPr>
      <w:sz w:val="24"/>
    </w:rPr>
  </w:style>
  <w:style w:type="paragraph" w:customStyle="1" w:styleId="Zkladntext0">
    <w:name w:val="Základní text~~"/>
    <w:basedOn w:val="Normln"/>
    <w:pPr>
      <w:spacing w:before="120"/>
      <w:jc w:val="center"/>
    </w:pPr>
    <w:rPr>
      <w:b/>
    </w:rPr>
  </w:style>
  <w:style w:type="paragraph" w:customStyle="1" w:styleId="Styltabulky">
    <w:name w:val="Styl tabulky"/>
    <w:basedOn w:val="Normln"/>
    <w:rPr>
      <w:sz w:val="20"/>
    </w:rPr>
  </w:style>
  <w:style w:type="paragraph" w:customStyle="1" w:styleId="Normln2">
    <w:name w:val="Normální~~"/>
    <w:basedOn w:val="Normln"/>
  </w:style>
  <w:style w:type="paragraph" w:customStyle="1" w:styleId="Normln3">
    <w:name w:val="Normální~~~"/>
    <w:basedOn w:val="Normln2"/>
    <w:rPr>
      <w:sz w:val="20"/>
    </w:rPr>
  </w:style>
  <w:style w:type="paragraph" w:customStyle="1" w:styleId="Normln10">
    <w:name w:val="Normální1~~"/>
    <w:basedOn w:val="Normln3"/>
  </w:style>
  <w:style w:type="paragraph" w:customStyle="1" w:styleId="Zkladntextodsazen0">
    <w:name w:val="Základní text odsazený~"/>
    <w:basedOn w:val="Normln10"/>
    <w:pPr>
      <w:ind w:left="360"/>
      <w:jc w:val="both"/>
    </w:pPr>
    <w:rPr>
      <w:sz w:val="24"/>
    </w:rPr>
  </w:style>
  <w:style w:type="character" w:customStyle="1" w:styleId="ZkladntextodsazenChar">
    <w:name w:val="Základní text odsazený Char"/>
    <w:rPr>
      <w:sz w:val="24"/>
    </w:rPr>
  </w:style>
  <w:style w:type="paragraph" w:styleId="Zkladntext2">
    <w:name w:val="Body Text 2"/>
    <w:basedOn w:val="Normln"/>
    <w:semiHidden/>
    <w:pPr>
      <w:jc w:val="both"/>
    </w:p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5F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rsid w:val="003B5F6C"/>
  </w:style>
  <w:style w:type="character" w:customStyle="1" w:styleId="PedmtkomenteChar">
    <w:name w:val="Předmět komentáře Char"/>
    <w:link w:val="Pedmtkomente"/>
    <w:uiPriority w:val="99"/>
    <w:semiHidden/>
    <w:rsid w:val="003B5F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53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4D6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D53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4D6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15013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BA008E"/>
    <w:pPr>
      <w:ind w:left="720"/>
      <w:contextualSpacing/>
    </w:pPr>
  </w:style>
  <w:style w:type="paragraph" w:styleId="Normlnweb">
    <w:name w:val="Normal (Web)"/>
    <w:basedOn w:val="Normln"/>
    <w:semiHidden/>
    <w:rsid w:val="00675424"/>
    <w:pPr>
      <w:widowControl/>
      <w:spacing w:before="100" w:beforeAutospacing="1" w:after="100" w:afterAutospacing="1"/>
    </w:pPr>
    <w:rPr>
      <w:szCs w:val="24"/>
    </w:rPr>
  </w:style>
  <w:style w:type="character" w:styleId="Zdraznn">
    <w:name w:val="Emphasis"/>
    <w:basedOn w:val="Standardnpsmoodstavce"/>
    <w:uiPriority w:val="20"/>
    <w:qFormat/>
    <w:rsid w:val="00E67614"/>
    <w:rPr>
      <w:i/>
      <w:iCs/>
    </w:rPr>
  </w:style>
  <w:style w:type="character" w:customStyle="1" w:styleId="apple-converted-space">
    <w:name w:val="apple-converted-space"/>
    <w:basedOn w:val="Standardnpsmoodstavce"/>
    <w:rsid w:val="00E67614"/>
  </w:style>
  <w:style w:type="character" w:styleId="Siln">
    <w:name w:val="Strong"/>
    <w:basedOn w:val="Standardnpsmoodstavce"/>
    <w:uiPriority w:val="22"/>
    <w:qFormat/>
    <w:rsid w:val="00E6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sj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2272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valné hromady</vt:lpstr>
    </vt:vector>
  </TitlesOfParts>
  <Company>VOS Jičín</Company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valné hromady</dc:title>
  <dc:creator>Soppe</dc:creator>
  <cp:lastModifiedBy>Klára Zachovalová</cp:lastModifiedBy>
  <cp:revision>3</cp:revision>
  <cp:lastPrinted>2018-05-15T13:43:00Z</cp:lastPrinted>
  <dcterms:created xsi:type="dcterms:W3CDTF">2018-05-15T13:43:00Z</dcterms:created>
  <dcterms:modified xsi:type="dcterms:W3CDTF">2018-05-17T12:23:00Z</dcterms:modified>
</cp:coreProperties>
</file>